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62E07" w14:textId="6FF7982F" w:rsidR="00E455F7" w:rsidRPr="00FA41BC" w:rsidRDefault="00E455F7" w:rsidP="000140AC">
      <w:pPr>
        <w:spacing w:after="0" w:line="240" w:lineRule="auto"/>
        <w:jc w:val="both"/>
        <w:rPr>
          <w:rFonts w:ascii="Calibri" w:hAnsi="Calibri" w:cs="Calibri"/>
          <w:b/>
          <w:bCs/>
          <w:sz w:val="19"/>
          <w:szCs w:val="19"/>
          <w:lang w:val="en-US"/>
        </w:rPr>
      </w:pPr>
    </w:p>
    <w:p w14:paraId="563B6E48" w14:textId="77777777" w:rsidR="00E455F7" w:rsidRPr="00890D4A" w:rsidRDefault="00E455F7" w:rsidP="000140AC">
      <w:pPr>
        <w:spacing w:after="0" w:line="240" w:lineRule="auto"/>
        <w:jc w:val="both"/>
        <w:rPr>
          <w:rFonts w:ascii="Calibri" w:hAnsi="Calibri" w:cs="Calibri"/>
          <w:b/>
          <w:bCs/>
          <w:sz w:val="19"/>
          <w:szCs w:val="19"/>
        </w:rPr>
      </w:pPr>
    </w:p>
    <w:p w14:paraId="4B7F20D6" w14:textId="77777777" w:rsidR="005C25B4" w:rsidRDefault="005C25B4" w:rsidP="005C25B4">
      <w:pPr>
        <w:spacing w:after="0" w:line="240" w:lineRule="auto"/>
        <w:jc w:val="center"/>
        <w:rPr>
          <w:rFonts w:ascii="Calibri" w:hAnsi="Calibri" w:cs="Calibri"/>
          <w:b/>
          <w:bCs/>
          <w:sz w:val="28"/>
          <w:szCs w:val="28"/>
        </w:rPr>
      </w:pPr>
    </w:p>
    <w:p w14:paraId="29E8146B" w14:textId="2575B98A" w:rsidR="005C25B4" w:rsidRPr="00902F34" w:rsidRDefault="005C25B4" w:rsidP="005C25B4">
      <w:pPr>
        <w:spacing w:after="0" w:line="240" w:lineRule="auto"/>
        <w:jc w:val="center"/>
        <w:rPr>
          <w:rFonts w:ascii="Calibri" w:hAnsi="Calibri" w:cs="Calibri"/>
          <w:b/>
          <w:bCs/>
          <w:sz w:val="28"/>
          <w:szCs w:val="28"/>
        </w:rPr>
      </w:pPr>
      <w:r w:rsidRPr="005C25B4">
        <w:rPr>
          <w:rFonts w:ascii="Calibri" w:hAnsi="Calibri" w:cs="Calibri"/>
          <w:b/>
          <w:bCs/>
          <w:sz w:val="28"/>
          <w:szCs w:val="28"/>
        </w:rPr>
        <w:t>Emirates Stallions Group Delivers AED 766.</w:t>
      </w:r>
      <w:r w:rsidR="00ED4F39">
        <w:rPr>
          <w:rFonts w:ascii="Calibri" w:hAnsi="Calibri" w:cs="Calibri"/>
          <w:b/>
          <w:bCs/>
          <w:sz w:val="28"/>
          <w:szCs w:val="28"/>
        </w:rPr>
        <w:t>6</w:t>
      </w:r>
      <w:r>
        <w:rPr>
          <w:rFonts w:ascii="Calibri" w:hAnsi="Calibri" w:cs="Calibri"/>
          <w:b/>
          <w:bCs/>
          <w:sz w:val="28"/>
          <w:szCs w:val="28"/>
        </w:rPr>
        <w:t>9</w:t>
      </w:r>
      <w:r w:rsidRPr="005C25B4">
        <w:rPr>
          <w:rFonts w:ascii="Calibri" w:hAnsi="Calibri" w:cs="Calibri"/>
          <w:b/>
          <w:bCs/>
          <w:sz w:val="28"/>
          <w:szCs w:val="28"/>
        </w:rPr>
        <w:t xml:space="preserve"> Million Revenue and 44% Net Profit Growth in H1 2026</w:t>
      </w:r>
    </w:p>
    <w:p w14:paraId="4BFFA46B" w14:textId="457CA708" w:rsidR="0077068C" w:rsidRPr="0004223F" w:rsidRDefault="005C25B4" w:rsidP="005C25B4">
      <w:pPr>
        <w:pStyle w:val="isselectedend"/>
        <w:numPr>
          <w:ilvl w:val="0"/>
          <w:numId w:val="2"/>
        </w:numPr>
        <w:jc w:val="both"/>
        <w:rPr>
          <w:rFonts w:ascii="Calibri" w:eastAsiaTheme="minorHAnsi" w:hAnsi="Calibri" w:cs="Calibri"/>
          <w:b/>
          <w:bCs/>
          <w:kern w:val="2"/>
          <w:sz w:val="22"/>
          <w:szCs w:val="22"/>
          <w:lang w:eastAsia="en-US"/>
          <w14:ligatures w14:val="standardContextual"/>
        </w:rPr>
      </w:pPr>
      <w:r>
        <w:rPr>
          <w:rFonts w:ascii="Calibri" w:eastAsiaTheme="minorHAnsi" w:hAnsi="Calibri" w:cs="Calibri"/>
          <w:b/>
          <w:bCs/>
          <w:kern w:val="2"/>
          <w:sz w:val="22"/>
          <w:szCs w:val="22"/>
          <w:lang w:eastAsia="en-US"/>
          <w14:ligatures w14:val="standardContextual"/>
        </w:rPr>
        <w:t>Emirates Stallions Group r</w:t>
      </w:r>
      <w:r w:rsidR="0077068C" w:rsidRPr="0004223F">
        <w:rPr>
          <w:rFonts w:ascii="Calibri" w:eastAsiaTheme="minorHAnsi" w:hAnsi="Calibri" w:cs="Calibri"/>
          <w:b/>
          <w:bCs/>
          <w:kern w:val="2"/>
          <w:sz w:val="22"/>
          <w:szCs w:val="22"/>
          <w:lang w:eastAsia="en-US"/>
          <w14:ligatures w14:val="standardContextual"/>
        </w:rPr>
        <w:t>evenue increased 8% year-on-year to AED 766.69 million</w:t>
      </w:r>
    </w:p>
    <w:p w14:paraId="7AF48921" w14:textId="77777777" w:rsidR="00FA00E9" w:rsidRPr="007D7004" w:rsidRDefault="00FA00E9" w:rsidP="00FA00E9">
      <w:pPr>
        <w:pStyle w:val="isselectedend"/>
        <w:numPr>
          <w:ilvl w:val="0"/>
          <w:numId w:val="2"/>
        </w:numPr>
        <w:jc w:val="both"/>
        <w:rPr>
          <w:rFonts w:ascii="Calibri" w:eastAsiaTheme="minorHAnsi" w:hAnsi="Calibri" w:cs="Calibri"/>
          <w:b/>
          <w:bCs/>
          <w:kern w:val="2"/>
          <w:sz w:val="22"/>
          <w:szCs w:val="22"/>
          <w:lang w:eastAsia="en-US"/>
          <w14:ligatures w14:val="standardContextual"/>
        </w:rPr>
      </w:pPr>
      <w:r w:rsidRPr="005C25B4">
        <w:rPr>
          <w:rFonts w:ascii="Calibri" w:eastAsiaTheme="minorEastAsia" w:hAnsi="Calibri" w:cs="Calibri"/>
          <w:b/>
          <w:bCs/>
          <w:kern w:val="2"/>
          <w:sz w:val="22"/>
          <w:szCs w:val="22"/>
          <w:lang w:val="en-US" w:eastAsia="en-US"/>
          <w14:ligatures w14:val="standardContextual"/>
        </w:rPr>
        <w:t>Net profit increased 44% to AED 166.30 million</w:t>
      </w:r>
    </w:p>
    <w:p w14:paraId="7883AFAB" w14:textId="70560A51" w:rsidR="005C25B4" w:rsidRPr="0004223F" w:rsidRDefault="0077068C" w:rsidP="005C25B4">
      <w:pPr>
        <w:pStyle w:val="isselectedend"/>
        <w:numPr>
          <w:ilvl w:val="0"/>
          <w:numId w:val="2"/>
        </w:numPr>
        <w:jc w:val="both"/>
        <w:rPr>
          <w:rFonts w:ascii="Calibri" w:eastAsiaTheme="minorHAnsi" w:hAnsi="Calibri" w:cs="Calibri"/>
          <w:b/>
          <w:bCs/>
          <w:kern w:val="2"/>
          <w:sz w:val="22"/>
          <w:szCs w:val="22"/>
          <w:lang w:eastAsia="en-US"/>
          <w14:ligatures w14:val="standardContextual"/>
        </w:rPr>
      </w:pPr>
      <w:r w:rsidRPr="0004223F">
        <w:rPr>
          <w:rFonts w:ascii="Calibri" w:eastAsiaTheme="minorHAnsi" w:hAnsi="Calibri" w:cs="Calibri"/>
          <w:b/>
          <w:bCs/>
          <w:kern w:val="2"/>
          <w:sz w:val="22"/>
          <w:szCs w:val="22"/>
          <w:lang w:eastAsia="en-US"/>
          <w14:ligatures w14:val="standardContextual"/>
        </w:rPr>
        <w:t xml:space="preserve">Operational profit before tax rose </w:t>
      </w:r>
      <w:r w:rsidR="00472B43" w:rsidRPr="0004223F">
        <w:rPr>
          <w:rFonts w:ascii="Calibri" w:eastAsiaTheme="minorHAnsi" w:hAnsi="Calibri" w:cs="Calibri"/>
          <w:b/>
          <w:bCs/>
          <w:kern w:val="2"/>
          <w:sz w:val="22"/>
          <w:szCs w:val="22"/>
          <w:lang w:eastAsia="en-US"/>
          <w14:ligatures w14:val="standardContextual"/>
        </w:rPr>
        <w:t>47</w:t>
      </w:r>
      <w:r w:rsidRPr="0004223F">
        <w:rPr>
          <w:rFonts w:ascii="Calibri" w:eastAsiaTheme="minorHAnsi" w:hAnsi="Calibri" w:cs="Calibri"/>
          <w:b/>
          <w:bCs/>
          <w:kern w:val="2"/>
          <w:sz w:val="22"/>
          <w:szCs w:val="22"/>
          <w:lang w:eastAsia="en-US"/>
          <w14:ligatures w14:val="standardContextual"/>
        </w:rPr>
        <w:t xml:space="preserve">% to AED </w:t>
      </w:r>
      <w:r w:rsidR="00472B43" w:rsidRPr="0004223F">
        <w:rPr>
          <w:rFonts w:ascii="Calibri" w:eastAsiaTheme="minorHAnsi" w:hAnsi="Calibri" w:cs="Calibri"/>
          <w:b/>
          <w:bCs/>
          <w:kern w:val="2"/>
          <w:sz w:val="22"/>
          <w:szCs w:val="22"/>
          <w:lang w:eastAsia="en-US"/>
          <w14:ligatures w14:val="standardContextual"/>
        </w:rPr>
        <w:t>193</w:t>
      </w:r>
      <w:r w:rsidRPr="0004223F">
        <w:rPr>
          <w:rFonts w:ascii="Calibri" w:eastAsiaTheme="minorHAnsi" w:hAnsi="Calibri" w:cs="Calibri"/>
          <w:b/>
          <w:bCs/>
          <w:kern w:val="2"/>
          <w:sz w:val="22"/>
          <w:szCs w:val="22"/>
          <w:lang w:eastAsia="en-US"/>
          <w14:ligatures w14:val="standardContextual"/>
        </w:rPr>
        <w:t>.</w:t>
      </w:r>
      <w:r w:rsidR="00472B43" w:rsidRPr="0004223F">
        <w:rPr>
          <w:rFonts w:ascii="Calibri" w:eastAsiaTheme="minorHAnsi" w:hAnsi="Calibri" w:cs="Calibri"/>
          <w:b/>
          <w:bCs/>
          <w:kern w:val="2"/>
          <w:sz w:val="22"/>
          <w:szCs w:val="22"/>
          <w:lang w:eastAsia="en-US"/>
          <w14:ligatures w14:val="standardContextual"/>
        </w:rPr>
        <w:t xml:space="preserve">48 </w:t>
      </w:r>
      <w:r w:rsidRPr="0004223F">
        <w:rPr>
          <w:rFonts w:ascii="Calibri" w:eastAsiaTheme="minorHAnsi" w:hAnsi="Calibri" w:cs="Calibri"/>
          <w:b/>
          <w:bCs/>
          <w:kern w:val="2"/>
          <w:sz w:val="22"/>
          <w:szCs w:val="22"/>
          <w:lang w:eastAsia="en-US"/>
          <w14:ligatures w14:val="standardContextual"/>
        </w:rPr>
        <w:t>million</w:t>
      </w:r>
    </w:p>
    <w:p w14:paraId="62606274" w14:textId="74BE8A90" w:rsidR="005C25B4" w:rsidRPr="005C25B4" w:rsidRDefault="005C25B4" w:rsidP="005C25B4">
      <w:pPr>
        <w:pStyle w:val="isselectedend"/>
        <w:numPr>
          <w:ilvl w:val="0"/>
          <w:numId w:val="2"/>
        </w:numPr>
        <w:jc w:val="both"/>
        <w:rPr>
          <w:rFonts w:ascii="Calibri" w:eastAsiaTheme="minorHAnsi" w:hAnsi="Calibri" w:cs="Calibri"/>
          <w:b/>
          <w:bCs/>
          <w:kern w:val="2"/>
          <w:sz w:val="22"/>
          <w:szCs w:val="22"/>
          <w:lang w:eastAsia="en-US"/>
          <w14:ligatures w14:val="standardContextual"/>
        </w:rPr>
      </w:pPr>
      <w:r w:rsidRPr="005C25B4">
        <w:rPr>
          <w:rFonts w:ascii="Calibri" w:eastAsiaTheme="minorHAnsi" w:hAnsi="Calibri" w:cs="Calibri"/>
          <w:b/>
          <w:bCs/>
          <w:kern w:val="2"/>
          <w:sz w:val="22"/>
          <w:szCs w:val="22"/>
          <w:lang w:eastAsia="en-US"/>
          <w14:ligatures w14:val="standardContextual"/>
        </w:rPr>
        <w:t xml:space="preserve">Total assets </w:t>
      </w:r>
      <w:r>
        <w:rPr>
          <w:rFonts w:ascii="Calibri" w:eastAsiaTheme="minorHAnsi" w:hAnsi="Calibri" w:cs="Calibri"/>
          <w:b/>
          <w:bCs/>
          <w:kern w:val="2"/>
          <w:sz w:val="22"/>
          <w:szCs w:val="22"/>
          <w:lang w:eastAsia="en-US"/>
          <w14:ligatures w14:val="standardContextual"/>
        </w:rPr>
        <w:t>rose</w:t>
      </w:r>
      <w:r w:rsidRPr="005C25B4">
        <w:rPr>
          <w:rFonts w:ascii="Calibri" w:eastAsiaTheme="minorHAnsi" w:hAnsi="Calibri" w:cs="Calibri"/>
          <w:b/>
          <w:bCs/>
          <w:kern w:val="2"/>
          <w:sz w:val="22"/>
          <w:szCs w:val="22"/>
          <w:lang w:eastAsia="en-US"/>
          <w14:ligatures w14:val="standardContextual"/>
        </w:rPr>
        <w:t xml:space="preserve"> 11% to AED 4.8 billion</w:t>
      </w:r>
      <w:r>
        <w:rPr>
          <w:rFonts w:ascii="Calibri" w:eastAsiaTheme="minorHAnsi" w:hAnsi="Calibri" w:cs="Calibri"/>
          <w:b/>
          <w:bCs/>
          <w:kern w:val="2"/>
          <w:sz w:val="22"/>
          <w:szCs w:val="22"/>
          <w:lang w:eastAsia="en-US"/>
          <w14:ligatures w14:val="standardContextual"/>
        </w:rPr>
        <w:t xml:space="preserve"> while t</w:t>
      </w:r>
      <w:r w:rsidRPr="005C25B4">
        <w:rPr>
          <w:rFonts w:ascii="Calibri" w:eastAsiaTheme="minorHAnsi" w:hAnsi="Calibri" w:cs="Calibri"/>
          <w:b/>
          <w:bCs/>
          <w:kern w:val="2"/>
          <w:sz w:val="22"/>
          <w:szCs w:val="22"/>
          <w:lang w:eastAsia="en-US"/>
          <w14:ligatures w14:val="standardContextual"/>
        </w:rPr>
        <w:t xml:space="preserve">otal equity </w:t>
      </w:r>
      <w:r>
        <w:rPr>
          <w:rFonts w:ascii="Calibri" w:eastAsiaTheme="minorHAnsi" w:hAnsi="Calibri" w:cs="Calibri"/>
          <w:b/>
          <w:bCs/>
          <w:kern w:val="2"/>
          <w:sz w:val="22"/>
          <w:szCs w:val="22"/>
          <w:lang w:eastAsia="en-US"/>
          <w14:ligatures w14:val="standardContextual"/>
        </w:rPr>
        <w:t>increased</w:t>
      </w:r>
      <w:r w:rsidRPr="005C25B4">
        <w:rPr>
          <w:rFonts w:ascii="Calibri" w:eastAsiaTheme="minorHAnsi" w:hAnsi="Calibri" w:cs="Calibri"/>
          <w:b/>
          <w:bCs/>
          <w:kern w:val="2"/>
          <w:sz w:val="22"/>
          <w:szCs w:val="22"/>
          <w:lang w:eastAsia="en-US"/>
          <w14:ligatures w14:val="standardContextual"/>
        </w:rPr>
        <w:t xml:space="preserve"> 10% to AED 3.2 billion</w:t>
      </w:r>
    </w:p>
    <w:p w14:paraId="487630C3" w14:textId="47B82880" w:rsidR="00CA0451" w:rsidRPr="005C25B4" w:rsidRDefault="000C4C85" w:rsidP="005C25B4">
      <w:pPr>
        <w:pStyle w:val="isselectedend"/>
        <w:jc w:val="both"/>
        <w:rPr>
          <w:rFonts w:ascii="Calibri" w:eastAsiaTheme="minorEastAsia" w:hAnsi="Calibri" w:cs="Calibri"/>
          <w:kern w:val="2"/>
          <w:sz w:val="22"/>
          <w:szCs w:val="22"/>
          <w:lang w:val="en-US" w:eastAsia="en-US"/>
          <w14:ligatures w14:val="standardContextual"/>
        </w:rPr>
      </w:pPr>
      <w:r w:rsidRPr="005C25B4">
        <w:rPr>
          <w:rFonts w:ascii="Calibri" w:eastAsiaTheme="minorHAnsi" w:hAnsi="Calibri" w:cs="Calibri"/>
          <w:b/>
          <w:bCs/>
          <w:kern w:val="2"/>
          <w:lang w:eastAsia="en-US"/>
          <w14:ligatures w14:val="standardContextual"/>
        </w:rPr>
        <w:t>A</w:t>
      </w:r>
      <w:proofErr w:type="spellStart"/>
      <w:r w:rsidR="001E3669" w:rsidRPr="005C25B4">
        <w:rPr>
          <w:rFonts w:ascii="Calibri" w:eastAsiaTheme="minorEastAsia" w:hAnsi="Calibri" w:cs="Calibri"/>
          <w:b/>
          <w:bCs/>
          <w:kern w:val="2"/>
          <w:sz w:val="22"/>
          <w:szCs w:val="22"/>
          <w:lang w:val="en-US" w:eastAsia="en-US"/>
          <w14:ligatures w14:val="standardContextual"/>
        </w:rPr>
        <w:t>bu</w:t>
      </w:r>
      <w:proofErr w:type="spellEnd"/>
      <w:r w:rsidR="001E3669" w:rsidRPr="005C25B4">
        <w:rPr>
          <w:rFonts w:ascii="Calibri" w:eastAsiaTheme="minorEastAsia" w:hAnsi="Calibri" w:cs="Calibri"/>
          <w:b/>
          <w:bCs/>
          <w:kern w:val="2"/>
          <w:sz w:val="22"/>
          <w:szCs w:val="22"/>
          <w:lang w:val="en-US" w:eastAsia="en-US"/>
          <w14:ligatures w14:val="standardContextual"/>
        </w:rPr>
        <w:t xml:space="preserve"> Dhabi, UAE – </w:t>
      </w:r>
      <w:r w:rsidR="00E71FDB">
        <w:rPr>
          <w:rFonts w:ascii="Calibri" w:eastAsiaTheme="minorEastAsia" w:hAnsi="Calibri" w:cs="Calibri"/>
          <w:b/>
          <w:bCs/>
          <w:kern w:val="2"/>
          <w:sz w:val="22"/>
          <w:szCs w:val="22"/>
          <w:lang w:val="en-US" w:eastAsia="en-US"/>
          <w14:ligatures w14:val="standardContextual"/>
        </w:rPr>
        <w:t>28</w:t>
      </w:r>
      <w:r w:rsidR="001E3669" w:rsidRPr="005C25B4">
        <w:rPr>
          <w:rFonts w:ascii="Calibri" w:eastAsiaTheme="minorEastAsia" w:hAnsi="Calibri" w:cs="Calibri"/>
          <w:b/>
          <w:bCs/>
          <w:kern w:val="2"/>
          <w:sz w:val="22"/>
          <w:szCs w:val="22"/>
          <w:lang w:val="en-US" w:eastAsia="en-US"/>
          <w14:ligatures w14:val="standardContextual"/>
        </w:rPr>
        <w:t xml:space="preserve"> </w:t>
      </w:r>
      <w:r w:rsidR="00100A24" w:rsidRPr="005C25B4">
        <w:rPr>
          <w:rFonts w:ascii="Calibri" w:eastAsiaTheme="minorEastAsia" w:hAnsi="Calibri" w:cs="Calibri"/>
          <w:b/>
          <w:bCs/>
          <w:kern w:val="2"/>
          <w:sz w:val="22"/>
          <w:szCs w:val="22"/>
          <w:lang w:val="en-US" w:eastAsia="en-US"/>
          <w14:ligatures w14:val="standardContextual"/>
        </w:rPr>
        <w:t>July</w:t>
      </w:r>
      <w:r w:rsidR="001E3669" w:rsidRPr="005C25B4">
        <w:rPr>
          <w:rFonts w:ascii="Calibri" w:eastAsiaTheme="minorEastAsia" w:hAnsi="Calibri" w:cs="Calibri"/>
          <w:b/>
          <w:bCs/>
          <w:kern w:val="2"/>
          <w:sz w:val="22"/>
          <w:szCs w:val="22"/>
          <w:lang w:val="en-US" w:eastAsia="en-US"/>
          <w14:ligatures w14:val="standardContextual"/>
        </w:rPr>
        <w:t xml:space="preserve"> 202</w:t>
      </w:r>
      <w:r w:rsidR="00C5357C" w:rsidRPr="005C25B4">
        <w:rPr>
          <w:rFonts w:ascii="Calibri" w:eastAsiaTheme="minorEastAsia" w:hAnsi="Calibri" w:cs="Calibri"/>
          <w:b/>
          <w:bCs/>
          <w:kern w:val="2"/>
          <w:sz w:val="22"/>
          <w:szCs w:val="22"/>
          <w:lang w:val="en-US" w:eastAsia="en-US"/>
          <w14:ligatures w14:val="standardContextual"/>
        </w:rPr>
        <w:t>6</w:t>
      </w:r>
      <w:r w:rsidR="001E3669" w:rsidRPr="005C25B4">
        <w:rPr>
          <w:rFonts w:ascii="Calibri" w:eastAsiaTheme="minorEastAsia" w:hAnsi="Calibri" w:cs="Calibri"/>
          <w:b/>
          <w:bCs/>
          <w:kern w:val="2"/>
          <w:sz w:val="22"/>
          <w:szCs w:val="22"/>
          <w:lang w:val="en-US" w:eastAsia="en-US"/>
          <w14:ligatures w14:val="standardContextual"/>
        </w:rPr>
        <w:t>:</w:t>
      </w:r>
      <w:r w:rsidR="00CA0451" w:rsidRPr="005C25B4">
        <w:rPr>
          <w:rFonts w:ascii="Calibri" w:eastAsiaTheme="minorEastAsia" w:hAnsi="Calibri" w:cs="Calibri"/>
          <w:b/>
          <w:bCs/>
          <w:kern w:val="2"/>
          <w:sz w:val="22"/>
          <w:szCs w:val="22"/>
          <w:lang w:val="en-US" w:eastAsia="en-US"/>
          <w14:ligatures w14:val="standardContextual"/>
        </w:rPr>
        <w:t xml:space="preserve"> </w:t>
      </w:r>
      <w:r w:rsidR="00CA0451" w:rsidRPr="005C25B4">
        <w:rPr>
          <w:rFonts w:ascii="Calibri" w:eastAsiaTheme="minorEastAsia" w:hAnsi="Calibri" w:cs="Calibri"/>
          <w:kern w:val="2"/>
          <w:sz w:val="22"/>
          <w:szCs w:val="22"/>
          <w:lang w:val="en-US" w:eastAsia="en-US"/>
          <w14:ligatures w14:val="standardContextual"/>
        </w:rPr>
        <w:t xml:space="preserve">Emirates Stallions Group (ADX: ESG), a leading UAE-based diversified conglomerate and subsidiary of IHC, has today reported an 8% year-on-year increase in revenue to AED 766.69 million for the six months ended 30 June 2026, while net profit rose 44% to AED 166.30 million and operational profit before tax increased 47% to AED 193.48 million, </w:t>
      </w:r>
      <w:r w:rsidR="00CA0451" w:rsidRPr="005C25B4">
        <w:rPr>
          <w:rFonts w:ascii="Calibri" w:eastAsiaTheme="minorEastAsia" w:hAnsi="Calibri" w:cs="Calibri"/>
          <w:sz w:val="22"/>
          <w:szCs w:val="22"/>
          <w:lang w:eastAsia="en-US"/>
        </w:rPr>
        <w:t xml:space="preserve">reflecting continued operational efficiencies, disciplined execution and the strength of </w:t>
      </w:r>
      <w:r w:rsidR="00C45E6C">
        <w:rPr>
          <w:rFonts w:ascii="Calibri" w:eastAsiaTheme="minorEastAsia" w:hAnsi="Calibri" w:cs="Calibri"/>
          <w:sz w:val="22"/>
          <w:szCs w:val="22"/>
          <w:lang w:eastAsia="en-US"/>
        </w:rPr>
        <w:t>ESG’s</w:t>
      </w:r>
      <w:r w:rsidR="00CA0451" w:rsidRPr="005C25B4">
        <w:rPr>
          <w:rFonts w:ascii="Calibri" w:eastAsiaTheme="minorEastAsia" w:hAnsi="Calibri" w:cs="Calibri"/>
          <w:sz w:val="22"/>
          <w:szCs w:val="22"/>
          <w:lang w:eastAsia="en-US"/>
        </w:rPr>
        <w:t xml:space="preserve"> diversified business portfolio</w:t>
      </w:r>
      <w:r w:rsidR="00CA0451" w:rsidRPr="005C25B4">
        <w:rPr>
          <w:rFonts w:ascii="Calibri" w:eastAsiaTheme="minorEastAsia" w:hAnsi="Calibri" w:cs="Calibri"/>
          <w:kern w:val="2"/>
          <w:sz w:val="22"/>
          <w:szCs w:val="22"/>
          <w:lang w:val="en-US" w:eastAsia="en-US"/>
          <w14:ligatures w14:val="standardContextual"/>
        </w:rPr>
        <w:t>.</w:t>
      </w:r>
    </w:p>
    <w:p w14:paraId="793986A6" w14:textId="7102837B" w:rsidR="00CA0451" w:rsidRDefault="00CA0451" w:rsidP="00CA0451">
      <w:pPr>
        <w:pStyle w:val="isselectedend"/>
        <w:jc w:val="both"/>
        <w:rPr>
          <w:rFonts w:ascii="Calibri" w:eastAsiaTheme="minorEastAsia" w:hAnsi="Calibri" w:cs="Calibri"/>
          <w:kern w:val="2"/>
          <w:sz w:val="22"/>
          <w:szCs w:val="22"/>
          <w:lang w:val="en-US" w:eastAsia="en-US"/>
          <w14:ligatures w14:val="standardContextual"/>
        </w:rPr>
      </w:pPr>
      <w:r w:rsidRPr="004B448E">
        <w:rPr>
          <w:rFonts w:ascii="Calibri" w:eastAsiaTheme="minorEastAsia" w:hAnsi="Calibri" w:cs="Calibri"/>
          <w:kern w:val="2"/>
          <w:sz w:val="22"/>
          <w:szCs w:val="22"/>
          <w:lang w:val="en-US" w:eastAsia="en-US"/>
          <w14:ligatures w14:val="standardContextual"/>
        </w:rPr>
        <w:t>Gross profit</w:t>
      </w:r>
      <w:r>
        <w:rPr>
          <w:rFonts w:ascii="Calibri" w:eastAsiaTheme="minorEastAsia" w:hAnsi="Calibri" w:cs="Calibri"/>
          <w:kern w:val="2"/>
          <w:sz w:val="22"/>
          <w:szCs w:val="22"/>
          <w:lang w:val="en-US" w:eastAsia="en-US"/>
          <w14:ligatures w14:val="standardContextual"/>
        </w:rPr>
        <w:t xml:space="preserve"> </w:t>
      </w:r>
      <w:r w:rsidRPr="004B448E">
        <w:rPr>
          <w:rFonts w:ascii="Calibri" w:eastAsiaTheme="minorEastAsia" w:hAnsi="Calibri" w:cs="Calibri"/>
          <w:kern w:val="2"/>
          <w:sz w:val="22"/>
          <w:szCs w:val="22"/>
          <w:lang w:val="en-US" w:eastAsia="en-US"/>
          <w14:ligatures w14:val="standardContextual"/>
        </w:rPr>
        <w:t xml:space="preserve">increased 19% year-on-year to AED 263.64 million, while total assets grew 11% to AED 4.8 billion and total equity increased 10% to AED 3.2 billion, reinforcing ESG's </w:t>
      </w:r>
      <w:r w:rsidR="006D1E95">
        <w:rPr>
          <w:rFonts w:ascii="Calibri" w:eastAsiaTheme="minorEastAsia" w:hAnsi="Calibri" w:cs="Calibri"/>
          <w:kern w:val="2"/>
          <w:sz w:val="22"/>
          <w:szCs w:val="22"/>
          <w:lang w:val="en-US" w:eastAsia="en-US"/>
          <w14:ligatures w14:val="standardContextual"/>
        </w:rPr>
        <w:t>robust</w:t>
      </w:r>
      <w:r w:rsidR="006D1E95" w:rsidRPr="004B448E">
        <w:rPr>
          <w:rFonts w:ascii="Calibri" w:eastAsiaTheme="minorEastAsia" w:hAnsi="Calibri" w:cs="Calibri"/>
          <w:kern w:val="2"/>
          <w:sz w:val="22"/>
          <w:szCs w:val="22"/>
          <w:lang w:val="en-US" w:eastAsia="en-US"/>
          <w14:ligatures w14:val="standardContextual"/>
        </w:rPr>
        <w:t xml:space="preserve"> </w:t>
      </w:r>
      <w:r w:rsidRPr="004B448E">
        <w:rPr>
          <w:rFonts w:ascii="Calibri" w:eastAsiaTheme="minorEastAsia" w:hAnsi="Calibri" w:cs="Calibri"/>
          <w:kern w:val="2"/>
          <w:sz w:val="22"/>
          <w:szCs w:val="22"/>
          <w:lang w:val="en-US" w:eastAsia="en-US"/>
          <w14:ligatures w14:val="standardContextual"/>
        </w:rPr>
        <w:t>financial position and continued focus on creating long-term shareholder value.</w:t>
      </w:r>
    </w:p>
    <w:p w14:paraId="63550A1C" w14:textId="1D9E26C5" w:rsidR="007D7004" w:rsidRDefault="007D7004" w:rsidP="007D7004">
      <w:pPr>
        <w:pStyle w:val="isselectedend"/>
        <w:jc w:val="both"/>
        <w:rPr>
          <w:rFonts w:ascii="Calibri" w:eastAsiaTheme="minorEastAsia" w:hAnsi="Calibri" w:cs="Calibri"/>
          <w:kern w:val="2"/>
          <w:sz w:val="22"/>
          <w:szCs w:val="22"/>
          <w:lang w:val="en-US" w:eastAsia="en-US"/>
          <w14:ligatures w14:val="standardContextual"/>
        </w:rPr>
      </w:pPr>
      <w:r w:rsidRPr="007D7004">
        <w:rPr>
          <w:rFonts w:ascii="Calibri" w:eastAsiaTheme="minorEastAsia" w:hAnsi="Calibri" w:cs="Calibri"/>
          <w:kern w:val="2"/>
          <w:sz w:val="22"/>
          <w:szCs w:val="22"/>
          <w:lang w:eastAsia="en-US"/>
          <w14:ligatures w14:val="standardContextual"/>
        </w:rPr>
        <w:t xml:space="preserve">The first-half performance was driven by continued operational improvements, effective capital allocation and resilient contributions from ESG's diversified portfolio, particularly across its Development and Human Resources businesses. </w:t>
      </w:r>
      <w:r w:rsidR="006D1E95">
        <w:rPr>
          <w:rFonts w:ascii="Calibri" w:eastAsiaTheme="minorEastAsia" w:hAnsi="Calibri" w:cs="Calibri"/>
          <w:kern w:val="2"/>
          <w:sz w:val="22"/>
          <w:szCs w:val="22"/>
          <w:lang w:eastAsia="en-US"/>
          <w14:ligatures w14:val="standardContextual"/>
        </w:rPr>
        <w:t xml:space="preserve">ESG’s </w:t>
      </w:r>
      <w:r w:rsidRPr="007D7004">
        <w:rPr>
          <w:rFonts w:ascii="Calibri" w:eastAsiaTheme="minorEastAsia" w:hAnsi="Calibri" w:cs="Calibri"/>
          <w:kern w:val="2"/>
          <w:sz w:val="22"/>
          <w:szCs w:val="22"/>
          <w:lang w:eastAsia="en-US"/>
          <w14:ligatures w14:val="standardContextual"/>
        </w:rPr>
        <w:t>ongoing portfolio optimisation initiatives</w:t>
      </w:r>
      <w:r w:rsidR="007B097C">
        <w:rPr>
          <w:rFonts w:ascii="Calibri" w:eastAsiaTheme="minorEastAsia" w:hAnsi="Calibri" w:cs="Calibri"/>
          <w:kern w:val="2"/>
          <w:sz w:val="22"/>
          <w:szCs w:val="22"/>
          <w:lang w:eastAsia="en-US"/>
          <w14:ligatures w14:val="standardContextual"/>
        </w:rPr>
        <w:t xml:space="preserve"> </w:t>
      </w:r>
      <w:r w:rsidRPr="007D7004">
        <w:rPr>
          <w:rFonts w:ascii="Calibri" w:eastAsiaTheme="minorEastAsia" w:hAnsi="Calibri" w:cs="Calibri"/>
          <w:kern w:val="2"/>
          <w:sz w:val="22"/>
          <w:szCs w:val="22"/>
          <w:lang w:eastAsia="en-US"/>
          <w14:ligatures w14:val="standardContextual"/>
        </w:rPr>
        <w:t>further strengthened overall profitability while maintaining a disciplined approach to growth and investment.</w:t>
      </w:r>
    </w:p>
    <w:p w14:paraId="5CF5CC7E" w14:textId="57421427" w:rsidR="0077068C" w:rsidRPr="004208E7" w:rsidRDefault="001E3669" w:rsidP="00E455F7">
      <w:pPr>
        <w:pStyle w:val="isselectedend"/>
        <w:jc w:val="both"/>
        <w:rPr>
          <w:rFonts w:ascii="Calibri" w:eastAsiaTheme="minorEastAsia" w:hAnsi="Calibri" w:cs="Calibri"/>
          <w:kern w:val="2"/>
          <w:sz w:val="22"/>
          <w:szCs w:val="22"/>
          <w:lang w:val="en-US" w:eastAsia="en-US"/>
          <w14:ligatures w14:val="standardContextual"/>
        </w:rPr>
      </w:pPr>
      <w:r w:rsidRPr="004208E7">
        <w:rPr>
          <w:rFonts w:ascii="Calibri" w:eastAsiaTheme="minorEastAsia" w:hAnsi="Calibri" w:cs="Calibri"/>
          <w:b/>
          <w:bCs/>
          <w:kern w:val="2"/>
          <w:sz w:val="22"/>
          <w:szCs w:val="22"/>
          <w:lang w:val="en-US" w:eastAsia="en-US"/>
          <w14:ligatures w14:val="standardContextual"/>
        </w:rPr>
        <w:t>H.E. Matar Suhail Al Yabhouni Al Dhaheri, Chairman of ESG, said:</w:t>
      </w:r>
      <w:r w:rsidR="007D7004">
        <w:rPr>
          <w:rFonts w:ascii="Calibri" w:eastAsiaTheme="minorEastAsia" w:hAnsi="Calibri" w:cs="Calibri"/>
          <w:kern w:val="2"/>
          <w:sz w:val="22"/>
          <w:szCs w:val="22"/>
          <w:lang w:val="en-US" w:eastAsia="en-US"/>
          <w14:ligatures w14:val="standardContextual"/>
        </w:rPr>
        <w:t xml:space="preserve"> </w:t>
      </w:r>
      <w:r w:rsidR="004A7ACD" w:rsidRPr="004208E7">
        <w:rPr>
          <w:rFonts w:ascii="Calibri" w:eastAsiaTheme="minorEastAsia" w:hAnsi="Calibri" w:cs="Calibri"/>
          <w:sz w:val="22"/>
          <w:szCs w:val="22"/>
          <w:lang w:val="en-US" w:eastAsia="en-US"/>
        </w:rPr>
        <w:t xml:space="preserve">"Our performance demonstrates the strength of ESG's diversified portfolio and the value of building businesses with long-term fundamentals. As we continue to invest </w:t>
      </w:r>
      <w:proofErr w:type="gramStart"/>
      <w:r w:rsidR="004A7ACD" w:rsidRPr="004208E7">
        <w:rPr>
          <w:rFonts w:ascii="Calibri" w:eastAsiaTheme="minorEastAsia" w:hAnsi="Calibri" w:cs="Calibri"/>
          <w:sz w:val="22"/>
          <w:szCs w:val="22"/>
          <w:lang w:val="en-US" w:eastAsia="en-US"/>
        </w:rPr>
        <w:t>across</w:t>
      </w:r>
      <w:proofErr w:type="gramEnd"/>
      <w:r w:rsidR="004A7ACD" w:rsidRPr="004208E7">
        <w:rPr>
          <w:rFonts w:ascii="Calibri" w:eastAsiaTheme="minorEastAsia" w:hAnsi="Calibri" w:cs="Calibri"/>
          <w:sz w:val="22"/>
          <w:szCs w:val="22"/>
          <w:lang w:val="en-US" w:eastAsia="en-US"/>
        </w:rPr>
        <w:t xml:space="preserve"> our priority sectors, we remain focused on expanding our asset base, maintaining financial discipline and creating lasting value for our shareholders. </w:t>
      </w:r>
      <w:r w:rsidR="00E455F7" w:rsidRPr="004208E7">
        <w:rPr>
          <w:rFonts w:ascii="Calibri" w:eastAsiaTheme="minorEastAsia" w:hAnsi="Calibri" w:cs="Calibri"/>
          <w:sz w:val="22"/>
          <w:szCs w:val="22"/>
          <w:lang w:eastAsia="en-US"/>
        </w:rPr>
        <w:t>The opportunities we continue to identify across our diversified businesses provide a strong foundation for long-term growth</w:t>
      </w:r>
      <w:r w:rsidR="009F69C1" w:rsidRPr="004208E7">
        <w:rPr>
          <w:rFonts w:ascii="Calibri" w:eastAsiaTheme="minorEastAsia" w:hAnsi="Calibri" w:cs="Calibri"/>
          <w:sz w:val="22"/>
          <w:szCs w:val="22"/>
          <w:lang w:eastAsia="en-US"/>
        </w:rPr>
        <w:t>.</w:t>
      </w:r>
      <w:r w:rsidR="004A7ACD" w:rsidRPr="004208E7">
        <w:rPr>
          <w:rFonts w:ascii="Calibri" w:eastAsiaTheme="minorEastAsia" w:hAnsi="Calibri" w:cs="Calibri"/>
          <w:sz w:val="22"/>
          <w:szCs w:val="22"/>
          <w:lang w:val="en-US" w:eastAsia="en-US"/>
        </w:rPr>
        <w:t>"</w:t>
      </w:r>
      <w:r w:rsidR="000140AC" w:rsidRPr="004208E7">
        <w:rPr>
          <w:rFonts w:ascii="Calibri" w:eastAsiaTheme="minorHAnsi" w:hAnsi="Calibri" w:cs="Calibri"/>
          <w:kern w:val="2"/>
          <w:sz w:val="22"/>
          <w:szCs w:val="22"/>
          <w:lang w:eastAsia="en-US"/>
          <w14:ligatures w14:val="standardContextual"/>
        </w:rPr>
        <w:t xml:space="preserve"> </w:t>
      </w:r>
    </w:p>
    <w:p w14:paraId="28555C6F" w14:textId="1D0C0C0A" w:rsidR="00E455F7" w:rsidRPr="004208E7" w:rsidRDefault="001E3669" w:rsidP="00804AED">
      <w:pPr>
        <w:pStyle w:val="isselectedend"/>
        <w:jc w:val="both"/>
        <w:rPr>
          <w:rFonts w:ascii="Calibri" w:eastAsiaTheme="minorEastAsia" w:hAnsi="Calibri" w:cs="Calibri"/>
          <w:sz w:val="22"/>
          <w:szCs w:val="22"/>
          <w:lang w:val="en-US" w:eastAsia="en-US"/>
        </w:rPr>
      </w:pPr>
      <w:r w:rsidRPr="004208E7">
        <w:rPr>
          <w:rFonts w:ascii="Calibri" w:eastAsiaTheme="minorEastAsia" w:hAnsi="Calibri" w:cs="Calibri"/>
          <w:b/>
          <w:bCs/>
          <w:kern w:val="2"/>
          <w:sz w:val="22"/>
          <w:szCs w:val="22"/>
          <w:lang w:val="en-US" w:eastAsia="en-US"/>
          <w14:ligatures w14:val="standardContextual"/>
        </w:rPr>
        <w:t>Kayed Ali Khorma, CEO of ESG, added:</w:t>
      </w:r>
      <w:r w:rsidR="00AD6556" w:rsidRPr="004208E7">
        <w:rPr>
          <w:rFonts w:ascii="Calibri" w:eastAsiaTheme="minorEastAsia" w:hAnsi="Calibri" w:cs="Calibri"/>
          <w:sz w:val="22"/>
          <w:szCs w:val="22"/>
          <w:lang w:val="en-US" w:eastAsia="en-US"/>
        </w:rPr>
        <w:t xml:space="preserve"> </w:t>
      </w:r>
      <w:r w:rsidR="00804AED" w:rsidRPr="00804AED">
        <w:rPr>
          <w:rFonts w:ascii="Calibri" w:eastAsiaTheme="minorEastAsia" w:hAnsi="Calibri" w:cs="Calibri"/>
          <w:sz w:val="22"/>
          <w:szCs w:val="22"/>
          <w:lang w:eastAsia="en-US"/>
        </w:rPr>
        <w:t xml:space="preserve">"The first half </w:t>
      </w:r>
      <w:r w:rsidR="00457FB4">
        <w:rPr>
          <w:rFonts w:ascii="Calibri" w:eastAsiaTheme="minorEastAsia" w:hAnsi="Calibri" w:cs="Calibri"/>
          <w:sz w:val="22"/>
          <w:szCs w:val="22"/>
          <w:lang w:eastAsia="en-US"/>
        </w:rPr>
        <w:t xml:space="preserve">benefited </w:t>
      </w:r>
      <w:r w:rsidR="0023537D">
        <w:rPr>
          <w:rFonts w:ascii="Calibri" w:eastAsiaTheme="minorEastAsia" w:hAnsi="Calibri" w:cs="Calibri"/>
          <w:sz w:val="22"/>
          <w:szCs w:val="22"/>
          <w:lang w:eastAsia="en-US"/>
        </w:rPr>
        <w:t xml:space="preserve">from </w:t>
      </w:r>
      <w:r w:rsidR="00804AED" w:rsidRPr="00804AED">
        <w:rPr>
          <w:rFonts w:ascii="Calibri" w:eastAsiaTheme="minorEastAsia" w:hAnsi="Calibri" w:cs="Calibri"/>
          <w:sz w:val="22"/>
          <w:szCs w:val="22"/>
          <w:lang w:eastAsia="en-US"/>
        </w:rPr>
        <w:t>disciplined execution</w:t>
      </w:r>
      <w:r w:rsidR="001C487C">
        <w:rPr>
          <w:rFonts w:ascii="Calibri" w:eastAsiaTheme="minorEastAsia" w:hAnsi="Calibri" w:cs="Calibri"/>
          <w:sz w:val="22"/>
          <w:szCs w:val="22"/>
          <w:lang w:eastAsia="en-US"/>
        </w:rPr>
        <w:t>, improved efficiencies</w:t>
      </w:r>
      <w:r w:rsidR="00804AED" w:rsidRPr="00804AED">
        <w:rPr>
          <w:rFonts w:ascii="Calibri" w:eastAsiaTheme="minorEastAsia" w:hAnsi="Calibri" w:cs="Calibri"/>
          <w:sz w:val="22"/>
          <w:szCs w:val="22"/>
          <w:lang w:eastAsia="en-US"/>
        </w:rPr>
        <w:t xml:space="preserve"> and prudent capital management</w:t>
      </w:r>
      <w:r w:rsidR="001C487C">
        <w:rPr>
          <w:rFonts w:ascii="Calibri" w:eastAsiaTheme="minorEastAsia" w:hAnsi="Calibri" w:cs="Calibri"/>
          <w:sz w:val="22"/>
          <w:szCs w:val="22"/>
          <w:lang w:eastAsia="en-US"/>
        </w:rPr>
        <w:t xml:space="preserve"> across our businesses</w:t>
      </w:r>
      <w:r w:rsidR="00804AED" w:rsidRPr="00804AED">
        <w:rPr>
          <w:rFonts w:ascii="Calibri" w:eastAsiaTheme="minorEastAsia" w:hAnsi="Calibri" w:cs="Calibri"/>
          <w:sz w:val="22"/>
          <w:szCs w:val="22"/>
          <w:lang w:eastAsia="en-US"/>
        </w:rPr>
        <w:t>. Our Development and Human Resources verticals delivered particularly strong contributions during the period, while our streamlined portfolio further strengthened profitability. We remain focused on executing our strategic growth initiatives, enhancing operational efficiency across our businesses and investing in opportunities that support sustainable profitable growth.</w:t>
      </w:r>
      <w:r w:rsidR="006D1E95">
        <w:rPr>
          <w:rFonts w:ascii="Calibri" w:eastAsiaTheme="minorEastAsia" w:hAnsi="Calibri" w:cs="Calibri"/>
          <w:sz w:val="22"/>
          <w:szCs w:val="22"/>
          <w:lang w:eastAsia="en-US"/>
        </w:rPr>
        <w:t>”</w:t>
      </w:r>
    </w:p>
    <w:p w14:paraId="4E100F1B" w14:textId="651039C5" w:rsidR="007D7004" w:rsidRPr="004208E7" w:rsidRDefault="007D7004" w:rsidP="007D7004">
      <w:pPr>
        <w:pStyle w:val="isselectedend"/>
        <w:jc w:val="both"/>
        <w:rPr>
          <w:rFonts w:ascii="Calibri" w:eastAsiaTheme="minorEastAsia" w:hAnsi="Calibri" w:cs="Calibri"/>
          <w:sz w:val="22"/>
          <w:szCs w:val="22"/>
          <w:lang w:val="en-US"/>
        </w:rPr>
      </w:pPr>
      <w:r w:rsidRPr="007D7004">
        <w:rPr>
          <w:rFonts w:ascii="Calibri" w:eastAsiaTheme="minorEastAsia" w:hAnsi="Calibri" w:cs="Calibri"/>
          <w:sz w:val="22"/>
          <w:szCs w:val="22"/>
        </w:rPr>
        <w:t>During the period, ESG continued to execute its strategic growth initiatives across its diversified portfolio. A key milestone was the launch of Rotana Residences on Al Reem Island, with an estimated gross development value of approximately AED 1 billion. The project reflects growing demand for branded residential developments and further strengthens ESG's presence in the UAE real estate market.</w:t>
      </w:r>
    </w:p>
    <w:p w14:paraId="32FB2645" w14:textId="59031FB9" w:rsidR="002376C8" w:rsidRPr="002376C8" w:rsidRDefault="0062057E" w:rsidP="0062057E">
      <w:pPr>
        <w:pStyle w:val="isselectedend"/>
        <w:jc w:val="both"/>
        <w:rPr>
          <w:rFonts w:ascii="Calibri" w:eastAsiaTheme="minorEastAsia" w:hAnsi="Calibri" w:cs="Calibri"/>
          <w:sz w:val="22"/>
          <w:szCs w:val="22"/>
          <w:lang w:val="en-US" w:eastAsia="en-US"/>
        </w:rPr>
      </w:pPr>
      <w:r w:rsidRPr="0062057E">
        <w:rPr>
          <w:rFonts w:ascii="Calibri" w:eastAsiaTheme="minorEastAsia" w:hAnsi="Calibri" w:cs="Calibri"/>
          <w:sz w:val="22"/>
          <w:szCs w:val="22"/>
          <w:lang w:val="en-US"/>
        </w:rPr>
        <w:lastRenderedPageBreak/>
        <w:t>Across its portfolio, ESG's subsidiaries continued to deliver</w:t>
      </w:r>
      <w:r w:rsidR="006D1E95" w:rsidRPr="0062057E">
        <w:rPr>
          <w:rFonts w:ascii="Calibri" w:eastAsiaTheme="minorEastAsia" w:hAnsi="Calibri" w:cs="Calibri"/>
          <w:sz w:val="22"/>
          <w:szCs w:val="22"/>
          <w:lang w:val="en-US"/>
        </w:rPr>
        <w:t xml:space="preserve"> </w:t>
      </w:r>
      <w:r w:rsidR="00ED4F39">
        <w:rPr>
          <w:rFonts w:ascii="Calibri" w:eastAsiaTheme="minorEastAsia" w:hAnsi="Calibri" w:cs="Calibri"/>
          <w:sz w:val="22"/>
          <w:szCs w:val="22"/>
          <w:lang w:val="en-US"/>
        </w:rPr>
        <w:t>positive</w:t>
      </w:r>
      <w:r w:rsidR="006D1E95">
        <w:rPr>
          <w:rFonts w:ascii="Calibri" w:eastAsiaTheme="minorEastAsia" w:hAnsi="Calibri" w:cs="Calibri"/>
          <w:sz w:val="22"/>
          <w:szCs w:val="22"/>
          <w:lang w:val="en-US"/>
        </w:rPr>
        <w:t xml:space="preserve"> </w:t>
      </w:r>
      <w:r w:rsidRPr="0062057E">
        <w:rPr>
          <w:rFonts w:ascii="Calibri" w:eastAsiaTheme="minorEastAsia" w:hAnsi="Calibri" w:cs="Calibri"/>
          <w:sz w:val="22"/>
          <w:szCs w:val="22"/>
          <w:lang w:val="en-US"/>
        </w:rPr>
        <w:t>operational and commercial performance, supporting the company's overall financial results and strategic objectives during the period.</w:t>
      </w:r>
      <w:r>
        <w:rPr>
          <w:rFonts w:ascii="Calibri" w:eastAsiaTheme="minorEastAsia" w:hAnsi="Calibri" w:cs="Calibri"/>
          <w:sz w:val="22"/>
          <w:szCs w:val="22"/>
          <w:lang w:val="en-US"/>
        </w:rPr>
        <w:t xml:space="preserve"> </w:t>
      </w:r>
      <w:r w:rsidR="00636990" w:rsidRPr="004208E7">
        <w:rPr>
          <w:rFonts w:ascii="Calibri" w:eastAsiaTheme="minorEastAsia" w:hAnsi="Calibri" w:cs="Calibri"/>
          <w:sz w:val="22"/>
          <w:szCs w:val="22"/>
          <w:lang w:val="en-US" w:eastAsia="en-US"/>
        </w:rPr>
        <w:t xml:space="preserve">With a </w:t>
      </w:r>
      <w:r w:rsidR="006D1E95">
        <w:rPr>
          <w:rFonts w:ascii="Calibri" w:eastAsiaTheme="minorEastAsia" w:hAnsi="Calibri" w:cs="Calibri"/>
          <w:sz w:val="22"/>
          <w:szCs w:val="22"/>
          <w:lang w:val="en-US" w:eastAsia="en-US"/>
        </w:rPr>
        <w:t>solid</w:t>
      </w:r>
      <w:r w:rsidR="006D1E95" w:rsidRPr="004208E7">
        <w:rPr>
          <w:rFonts w:ascii="Calibri" w:eastAsiaTheme="minorEastAsia" w:hAnsi="Calibri" w:cs="Calibri"/>
          <w:sz w:val="22"/>
          <w:szCs w:val="22"/>
          <w:lang w:val="en-US" w:eastAsia="en-US"/>
        </w:rPr>
        <w:t xml:space="preserve"> </w:t>
      </w:r>
      <w:r w:rsidR="00636990" w:rsidRPr="004208E7">
        <w:rPr>
          <w:rFonts w:ascii="Calibri" w:eastAsiaTheme="minorEastAsia" w:hAnsi="Calibri" w:cs="Calibri"/>
          <w:sz w:val="22"/>
          <w:szCs w:val="22"/>
          <w:lang w:val="en-US" w:eastAsia="en-US"/>
        </w:rPr>
        <w:t xml:space="preserve">financial position, a diversified portfolio and clear strategic focus, ESG </w:t>
      </w:r>
      <w:r w:rsidR="00E455F7" w:rsidRPr="004208E7">
        <w:rPr>
          <w:rFonts w:ascii="Calibri" w:eastAsiaTheme="minorEastAsia" w:hAnsi="Calibri" w:cs="Calibri"/>
          <w:sz w:val="22"/>
          <w:szCs w:val="22"/>
          <w:lang w:val="en-US" w:eastAsia="en-US"/>
        </w:rPr>
        <w:t xml:space="preserve">remains </w:t>
      </w:r>
      <w:r w:rsidR="00636990" w:rsidRPr="004208E7">
        <w:rPr>
          <w:rFonts w:ascii="Calibri" w:eastAsiaTheme="minorEastAsia" w:hAnsi="Calibri" w:cs="Calibri"/>
          <w:sz w:val="22"/>
          <w:szCs w:val="22"/>
          <w:lang w:val="en-US" w:eastAsia="en-US"/>
        </w:rPr>
        <w:t xml:space="preserve">well positioned to build on its momentum </w:t>
      </w:r>
      <w:r w:rsidR="000519B0" w:rsidRPr="004208E7">
        <w:rPr>
          <w:rFonts w:ascii="Calibri" w:eastAsiaTheme="minorEastAsia" w:hAnsi="Calibri" w:cs="Calibri"/>
          <w:sz w:val="22"/>
          <w:szCs w:val="22"/>
          <w:lang w:val="en-US" w:eastAsia="en-US"/>
        </w:rPr>
        <w:t xml:space="preserve">and continue delivering </w:t>
      </w:r>
      <w:r w:rsidR="00E455F7" w:rsidRPr="004208E7">
        <w:rPr>
          <w:rFonts w:ascii="Calibri" w:eastAsiaTheme="minorEastAsia" w:hAnsi="Calibri" w:cs="Calibri"/>
          <w:sz w:val="22"/>
          <w:szCs w:val="22"/>
          <w:lang w:val="en-US"/>
        </w:rPr>
        <w:t>sustainable</w:t>
      </w:r>
      <w:r w:rsidR="00E455F7" w:rsidRPr="004208E7">
        <w:rPr>
          <w:rFonts w:ascii="Calibri" w:eastAsiaTheme="minorEastAsia" w:hAnsi="Calibri" w:cs="Calibri"/>
          <w:sz w:val="22"/>
          <w:szCs w:val="22"/>
          <w:lang w:val="en-US" w:eastAsia="en-US"/>
        </w:rPr>
        <w:t xml:space="preserve"> </w:t>
      </w:r>
      <w:r w:rsidR="000519B0" w:rsidRPr="004208E7">
        <w:rPr>
          <w:rFonts w:ascii="Calibri" w:eastAsiaTheme="minorEastAsia" w:hAnsi="Calibri" w:cs="Calibri"/>
          <w:sz w:val="22"/>
          <w:szCs w:val="22"/>
          <w:lang w:val="en-US" w:eastAsia="en-US"/>
        </w:rPr>
        <w:t>profitable growth</w:t>
      </w:r>
      <w:r w:rsidR="00636990" w:rsidRPr="004208E7">
        <w:rPr>
          <w:rFonts w:ascii="Calibri" w:eastAsiaTheme="minorEastAsia" w:hAnsi="Calibri" w:cs="Calibri"/>
          <w:sz w:val="22"/>
          <w:szCs w:val="22"/>
          <w:lang w:val="en-US" w:eastAsia="en-US"/>
        </w:rPr>
        <w:t>.</w:t>
      </w:r>
    </w:p>
    <w:p w14:paraId="001B828A" w14:textId="744867E5" w:rsidR="001E3669" w:rsidRPr="00890D4A" w:rsidRDefault="001E3669" w:rsidP="009B6857">
      <w:pPr>
        <w:pStyle w:val="isselectedend"/>
        <w:jc w:val="center"/>
        <w:rPr>
          <w:rFonts w:ascii="Calibri" w:eastAsiaTheme="minorHAnsi" w:hAnsi="Calibri" w:cs="Calibri"/>
          <w:b/>
          <w:bCs/>
          <w:kern w:val="2"/>
          <w:sz w:val="19"/>
          <w:szCs w:val="19"/>
          <w:lang w:eastAsia="en-US"/>
          <w14:ligatures w14:val="standardContextual"/>
        </w:rPr>
      </w:pPr>
      <w:r w:rsidRPr="00890D4A">
        <w:rPr>
          <w:rFonts w:ascii="Calibri" w:eastAsiaTheme="minorHAnsi" w:hAnsi="Calibri" w:cs="Calibri"/>
          <w:b/>
          <w:bCs/>
          <w:kern w:val="2"/>
          <w:sz w:val="19"/>
          <w:szCs w:val="19"/>
          <w:lang w:eastAsia="en-US"/>
          <w14:ligatures w14:val="standardContextual"/>
        </w:rPr>
        <w:t>–</w:t>
      </w:r>
      <w:r w:rsidR="006B0C8E" w:rsidRPr="00890D4A">
        <w:rPr>
          <w:rFonts w:ascii="Calibri" w:eastAsiaTheme="minorHAnsi" w:hAnsi="Calibri" w:cs="Calibri"/>
          <w:b/>
          <w:bCs/>
          <w:kern w:val="2"/>
          <w:sz w:val="19"/>
          <w:szCs w:val="19"/>
          <w:lang w:eastAsia="en-US"/>
          <w14:ligatures w14:val="standardContextual"/>
        </w:rPr>
        <w:t>ENDS</w:t>
      </w:r>
      <w:r w:rsidRPr="00890D4A">
        <w:rPr>
          <w:rFonts w:ascii="Calibri" w:eastAsiaTheme="minorHAnsi" w:hAnsi="Calibri" w:cs="Calibri"/>
          <w:b/>
          <w:bCs/>
          <w:kern w:val="2"/>
          <w:sz w:val="19"/>
          <w:szCs w:val="19"/>
          <w:lang w:eastAsia="en-US"/>
          <w14:ligatures w14:val="standardContextual"/>
        </w:rPr>
        <w:t>–</w:t>
      </w:r>
    </w:p>
    <w:p w14:paraId="3B910F81" w14:textId="77777777" w:rsidR="00C5357C" w:rsidRPr="00890D4A" w:rsidRDefault="00C5357C" w:rsidP="001F453F">
      <w:pPr>
        <w:spacing w:line="240" w:lineRule="auto"/>
        <w:jc w:val="both"/>
        <w:rPr>
          <w:rFonts w:ascii="Calibri" w:hAnsi="Calibri" w:cs="Calibri"/>
          <w:b/>
          <w:bCs/>
          <w:sz w:val="19"/>
          <w:szCs w:val="19"/>
        </w:rPr>
      </w:pPr>
    </w:p>
    <w:p w14:paraId="627C75F7" w14:textId="1D114BAE" w:rsidR="00D1591A" w:rsidRPr="002376C8" w:rsidRDefault="00D1591A" w:rsidP="001F453F">
      <w:pPr>
        <w:spacing w:line="240" w:lineRule="auto"/>
        <w:jc w:val="both"/>
        <w:rPr>
          <w:rFonts w:ascii="Calibri" w:hAnsi="Calibri" w:cs="Calibri"/>
          <w:b/>
          <w:bCs/>
          <w:sz w:val="22"/>
          <w:szCs w:val="22"/>
          <w:u w:val="single"/>
        </w:rPr>
      </w:pPr>
      <w:r w:rsidRPr="002376C8">
        <w:rPr>
          <w:rFonts w:ascii="Calibri" w:hAnsi="Calibri" w:cs="Calibri"/>
          <w:b/>
          <w:bCs/>
          <w:sz w:val="22"/>
          <w:szCs w:val="22"/>
        </w:rPr>
        <w:t>About ESG Emirates Stallions Group:</w:t>
      </w:r>
    </w:p>
    <w:p w14:paraId="0E29B631" w14:textId="77777777" w:rsidR="00100A24" w:rsidRPr="002376C8" w:rsidRDefault="00D1591A" w:rsidP="001F453F">
      <w:pPr>
        <w:spacing w:line="240" w:lineRule="auto"/>
        <w:jc w:val="both"/>
        <w:rPr>
          <w:rFonts w:ascii="Calibri" w:hAnsi="Calibri" w:cs="Calibri"/>
          <w:sz w:val="22"/>
          <w:szCs w:val="22"/>
        </w:rPr>
      </w:pPr>
      <w:r w:rsidRPr="002376C8">
        <w:rPr>
          <w:rFonts w:ascii="Calibri" w:hAnsi="Calibri" w:cs="Calibri"/>
          <w:sz w:val="22"/>
          <w:szCs w:val="22"/>
        </w:rPr>
        <w:t xml:space="preserve">ESG Emirates Stallions Group, a subsidiary of IHC, is a diversified UAE group uniting more than 50 subsidiaries across Manpower and Accommodation, Real Estate, Design and Manufacturing, Landscaping, and Agriculture. With presence in more than 15 countries and a workforce of over 15,000 personnel, ESG delivers integrated, cross-industry solutions that support national development and global expansion. </w:t>
      </w:r>
    </w:p>
    <w:p w14:paraId="11ABCF70" w14:textId="77777777" w:rsidR="00100A24" w:rsidRPr="002376C8" w:rsidRDefault="00100A24" w:rsidP="001F453F">
      <w:pPr>
        <w:spacing w:line="240" w:lineRule="auto"/>
        <w:jc w:val="both"/>
        <w:rPr>
          <w:rFonts w:ascii="Calibri" w:hAnsi="Calibri" w:cs="Calibri"/>
          <w:sz w:val="22"/>
          <w:szCs w:val="22"/>
          <w:lang w:val="en-US"/>
        </w:rPr>
      </w:pPr>
      <w:r w:rsidRPr="002376C8">
        <w:rPr>
          <w:rFonts w:ascii="Calibri" w:hAnsi="Calibri" w:cs="Calibri"/>
          <w:sz w:val="22"/>
          <w:szCs w:val="22"/>
          <w:lang w:val="en-US"/>
        </w:rPr>
        <w:t>Founded in 2008, the Group has built a strong financial and operational foundation, with total assets of AED 4.788 billion as of 30 June 2026. Guided by its commitment to innovation, integration and resilience, ESG continues to strengthen its capabilities and deliver sustainable value, reinforcing its contribution to the national economy and expanding its presence regionally and internationally.</w:t>
      </w:r>
    </w:p>
    <w:p w14:paraId="18EF74C6" w14:textId="0741A461" w:rsidR="002F0101" w:rsidRPr="002376C8" w:rsidRDefault="00D1591A" w:rsidP="001F453F">
      <w:pPr>
        <w:spacing w:line="240" w:lineRule="auto"/>
        <w:jc w:val="both"/>
        <w:rPr>
          <w:rFonts w:ascii="Calibri" w:hAnsi="Calibri" w:cs="Calibri"/>
          <w:sz w:val="22"/>
          <w:szCs w:val="22"/>
          <w:lang w:val="pl-PL"/>
        </w:rPr>
      </w:pPr>
      <w:hyperlink r:id="rId7" w:tooltip="Original URL: http://www.esguae.com/. Click or tap if you trust this link." w:history="1">
        <w:r w:rsidRPr="002376C8">
          <w:rPr>
            <w:rStyle w:val="Hyperlink"/>
            <w:rFonts w:ascii="Calibri" w:hAnsi="Calibri" w:cs="Calibri"/>
            <w:sz w:val="22"/>
            <w:szCs w:val="22"/>
            <w:lang w:val="pl-PL"/>
          </w:rPr>
          <w:t>www.esguae.com</w:t>
        </w:r>
      </w:hyperlink>
    </w:p>
    <w:p w14:paraId="15E61CFA" w14:textId="77777777" w:rsidR="00E745EB" w:rsidRPr="002376C8" w:rsidRDefault="00E745EB" w:rsidP="001F453F">
      <w:pPr>
        <w:spacing w:line="240" w:lineRule="auto"/>
        <w:jc w:val="both"/>
        <w:rPr>
          <w:rFonts w:ascii="Calibri" w:hAnsi="Calibri" w:cs="Calibri"/>
          <w:b/>
          <w:bCs/>
          <w:sz w:val="22"/>
          <w:szCs w:val="22"/>
          <w:lang w:val="pl-PL"/>
        </w:rPr>
      </w:pPr>
    </w:p>
    <w:p w14:paraId="2FE94816" w14:textId="0A1D0219" w:rsidR="0077068C" w:rsidRPr="002376C8" w:rsidRDefault="0077068C" w:rsidP="001F453F">
      <w:pPr>
        <w:spacing w:line="240" w:lineRule="auto"/>
        <w:jc w:val="both"/>
        <w:rPr>
          <w:rFonts w:ascii="Calibri" w:hAnsi="Calibri" w:cs="Calibri"/>
          <w:b/>
          <w:bCs/>
          <w:sz w:val="22"/>
          <w:szCs w:val="22"/>
          <w:lang w:val="pl-PL"/>
        </w:rPr>
      </w:pPr>
      <w:r w:rsidRPr="002376C8">
        <w:rPr>
          <w:rFonts w:ascii="Calibri" w:hAnsi="Calibri" w:cs="Calibri"/>
          <w:b/>
          <w:bCs/>
          <w:sz w:val="22"/>
          <w:szCs w:val="22"/>
          <w:lang w:val="pl-PL"/>
        </w:rPr>
        <w:t>About IHC:</w:t>
      </w:r>
    </w:p>
    <w:p w14:paraId="6DE1045D" w14:textId="77777777" w:rsidR="009B6857" w:rsidRPr="002376C8" w:rsidRDefault="009B6857" w:rsidP="009B6857">
      <w:pPr>
        <w:spacing w:line="240" w:lineRule="auto"/>
        <w:jc w:val="both"/>
        <w:rPr>
          <w:rFonts w:ascii="Calibri" w:hAnsi="Calibri" w:cs="Calibri"/>
          <w:sz w:val="22"/>
          <w:szCs w:val="22"/>
        </w:rPr>
      </w:pPr>
      <w:r w:rsidRPr="002376C8">
        <w:rPr>
          <w:rFonts w:ascii="Calibri" w:hAnsi="Calibri" w:cs="Calibri"/>
          <w:sz w:val="22"/>
          <w:szCs w:val="22"/>
        </w:rPr>
        <w:t>Established in 1999, IHC has become the most valuable holding company in the Middle East and one of the world's largest investment firms, with a market capitalization of AED 855 billion (USD 233 billion). Since then, it has transformed to represent a new generation of investors. IHC's commitment to sustainability, innovation, and economic diversification spans over 1,300 subsidiaries, driving growth across 4 key sectors: Technology, Infrastructure, Financial Services and Consumer.</w:t>
      </w:r>
    </w:p>
    <w:p w14:paraId="52BFCD8E" w14:textId="77777777" w:rsidR="009B6857" w:rsidRPr="002376C8" w:rsidRDefault="009B6857" w:rsidP="009B6857">
      <w:pPr>
        <w:spacing w:line="240" w:lineRule="auto"/>
        <w:jc w:val="both"/>
        <w:rPr>
          <w:rFonts w:ascii="Calibri" w:hAnsi="Calibri" w:cs="Calibri"/>
          <w:sz w:val="22"/>
          <w:szCs w:val="22"/>
        </w:rPr>
      </w:pPr>
      <w:r w:rsidRPr="002376C8">
        <w:rPr>
          <w:rFonts w:ascii="Calibri" w:hAnsi="Calibri" w:cs="Calibri"/>
          <w:sz w:val="22"/>
          <w:szCs w:val="22"/>
        </w:rPr>
        <w:t>IHC continually looks beyond the stand-alone value of its assets for opportunities, stepping outside of traditional approaches and artificial barriers to unlock opportunities across its portfolio, enabling sector-agnostic Dynamic Value Networks and creating results that are often much greater than the sum of their parts.</w:t>
      </w:r>
    </w:p>
    <w:p w14:paraId="6B616DB8" w14:textId="73A46550" w:rsidR="009B6857" w:rsidRPr="002376C8" w:rsidRDefault="009B6857" w:rsidP="002376C8">
      <w:pPr>
        <w:spacing w:line="240" w:lineRule="auto"/>
        <w:jc w:val="both"/>
        <w:rPr>
          <w:rFonts w:ascii="Calibri" w:hAnsi="Calibri" w:cs="Calibri"/>
          <w:sz w:val="22"/>
          <w:szCs w:val="22"/>
        </w:rPr>
      </w:pPr>
      <w:r w:rsidRPr="002376C8">
        <w:rPr>
          <w:rFonts w:ascii="Calibri" w:hAnsi="Calibri" w:cs="Calibri"/>
          <w:sz w:val="22"/>
          <w:szCs w:val="22"/>
        </w:rPr>
        <w:t>At IHC, we take our responsibility to shareholders, customers, and employees seriously. Our</w:t>
      </w:r>
      <w:r w:rsidR="002376C8">
        <w:rPr>
          <w:rFonts w:ascii="Calibri" w:hAnsi="Calibri" w:cs="Calibri"/>
          <w:sz w:val="22"/>
          <w:szCs w:val="22"/>
        </w:rPr>
        <w:t xml:space="preserve"> </w:t>
      </w:r>
      <w:r w:rsidRPr="002376C8">
        <w:rPr>
          <w:rFonts w:ascii="Calibri" w:hAnsi="Calibri" w:cs="Calibri"/>
          <w:sz w:val="22"/>
          <w:szCs w:val="22"/>
        </w:rPr>
        <w:t>commitment to responsible investment ensures that we create sustainable value by staying connected to the communities we serve, making a positive difference with every investment.</w:t>
      </w:r>
    </w:p>
    <w:p w14:paraId="4C9B1D6C" w14:textId="605A2E02" w:rsidR="00F52079" w:rsidRPr="002376C8" w:rsidRDefault="009B6857" w:rsidP="002376C8">
      <w:pPr>
        <w:rPr>
          <w:rFonts w:ascii="Calibri" w:hAnsi="Calibri" w:cs="Calibri"/>
          <w:sz w:val="22"/>
          <w:szCs w:val="22"/>
          <w:u w:val="single"/>
        </w:rPr>
      </w:pPr>
      <w:hyperlink r:id="rId8" w:history="1">
        <w:r w:rsidRPr="002376C8">
          <w:rPr>
            <w:rStyle w:val="Hyperlink"/>
            <w:rFonts w:ascii="Calibri" w:hAnsi="Calibri" w:cs="Calibri"/>
            <w:sz w:val="22"/>
            <w:szCs w:val="22"/>
          </w:rPr>
          <w:t>www.ihcuae.com</w:t>
        </w:r>
      </w:hyperlink>
    </w:p>
    <w:p w14:paraId="714E4174" w14:textId="77777777" w:rsidR="002376C8" w:rsidRPr="002376C8" w:rsidRDefault="002376C8" w:rsidP="001F453F">
      <w:pPr>
        <w:spacing w:line="240" w:lineRule="auto"/>
        <w:jc w:val="both"/>
        <w:rPr>
          <w:rFonts w:ascii="Calibri" w:hAnsi="Calibri" w:cs="Calibri"/>
          <w:sz w:val="22"/>
          <w:szCs w:val="22"/>
          <w:u w:val="single"/>
        </w:rPr>
      </w:pPr>
    </w:p>
    <w:p w14:paraId="1780A047" w14:textId="75C48AE1" w:rsidR="0077068C" w:rsidRPr="002376C8" w:rsidRDefault="0077068C" w:rsidP="001F453F">
      <w:pPr>
        <w:spacing w:line="240" w:lineRule="auto"/>
        <w:jc w:val="both"/>
        <w:rPr>
          <w:rFonts w:ascii="Calibri" w:hAnsi="Calibri" w:cs="Calibri"/>
          <w:b/>
          <w:sz w:val="22"/>
          <w:szCs w:val="22"/>
        </w:rPr>
      </w:pPr>
      <w:r w:rsidRPr="002376C8">
        <w:rPr>
          <w:rFonts w:ascii="Calibri" w:hAnsi="Calibri" w:cs="Calibri"/>
          <w:b/>
          <w:sz w:val="22"/>
          <w:szCs w:val="22"/>
        </w:rPr>
        <w:t>Media Contacts</w:t>
      </w:r>
    </w:p>
    <w:p w14:paraId="3C9175BC" w14:textId="77777777" w:rsidR="0077068C" w:rsidRPr="002376C8" w:rsidRDefault="0077068C" w:rsidP="001F453F">
      <w:pPr>
        <w:spacing w:line="240" w:lineRule="auto"/>
        <w:jc w:val="both"/>
        <w:rPr>
          <w:rFonts w:ascii="Calibri" w:hAnsi="Calibri" w:cs="Calibri"/>
          <w:sz w:val="22"/>
          <w:szCs w:val="22"/>
        </w:rPr>
      </w:pPr>
      <w:r w:rsidRPr="002376C8">
        <w:rPr>
          <w:rFonts w:ascii="Calibri" w:hAnsi="Calibri" w:cs="Calibri"/>
          <w:sz w:val="22"/>
          <w:szCs w:val="22"/>
        </w:rPr>
        <w:t xml:space="preserve">Simon Hailes </w:t>
      </w:r>
    </w:p>
    <w:p w14:paraId="335E7664" w14:textId="77777777" w:rsidR="0077068C" w:rsidRPr="002376C8" w:rsidRDefault="0077068C" w:rsidP="001F453F">
      <w:pPr>
        <w:spacing w:line="240" w:lineRule="auto"/>
        <w:jc w:val="both"/>
        <w:rPr>
          <w:rFonts w:ascii="Calibri" w:hAnsi="Calibri" w:cs="Calibri"/>
          <w:sz w:val="22"/>
          <w:szCs w:val="22"/>
        </w:rPr>
      </w:pPr>
      <w:r w:rsidRPr="002376C8">
        <w:rPr>
          <w:rFonts w:ascii="Calibri" w:hAnsi="Calibri" w:cs="Calibri"/>
          <w:sz w:val="22"/>
          <w:szCs w:val="22"/>
        </w:rPr>
        <w:t xml:space="preserve">Managing Director, Head of Edelman Smithfield Middle East </w:t>
      </w:r>
    </w:p>
    <w:p w14:paraId="49F0A841" w14:textId="77777777" w:rsidR="0077068C" w:rsidRPr="002376C8" w:rsidRDefault="0077068C" w:rsidP="001F453F">
      <w:pPr>
        <w:spacing w:line="240" w:lineRule="auto"/>
        <w:jc w:val="both"/>
        <w:rPr>
          <w:rFonts w:ascii="Calibri" w:hAnsi="Calibri" w:cs="Calibri"/>
          <w:sz w:val="22"/>
          <w:szCs w:val="22"/>
        </w:rPr>
      </w:pPr>
      <w:hyperlink r:id="rId9" w:history="1">
        <w:r w:rsidRPr="002376C8">
          <w:rPr>
            <w:rStyle w:val="Hyperlink"/>
            <w:rFonts w:ascii="Calibri" w:hAnsi="Calibri" w:cs="Calibri"/>
            <w:sz w:val="22"/>
            <w:szCs w:val="22"/>
          </w:rPr>
          <w:t>IHC@edelmansmithfield.com</w:t>
        </w:r>
      </w:hyperlink>
      <w:r w:rsidRPr="002376C8">
        <w:rPr>
          <w:rFonts w:ascii="Calibri" w:hAnsi="Calibri" w:cs="Calibri"/>
          <w:sz w:val="22"/>
          <w:szCs w:val="22"/>
        </w:rPr>
        <w:t xml:space="preserve"> </w:t>
      </w:r>
    </w:p>
    <w:p w14:paraId="30739BDB" w14:textId="77777777" w:rsidR="0077068C" w:rsidRPr="002376C8" w:rsidRDefault="0077068C" w:rsidP="001F453F">
      <w:pPr>
        <w:spacing w:line="240" w:lineRule="auto"/>
        <w:jc w:val="both"/>
        <w:rPr>
          <w:rFonts w:ascii="Calibri" w:hAnsi="Calibri" w:cs="Calibri"/>
          <w:sz w:val="22"/>
          <w:szCs w:val="22"/>
        </w:rPr>
      </w:pPr>
      <w:r w:rsidRPr="002376C8">
        <w:rPr>
          <w:rFonts w:ascii="Calibri" w:hAnsi="Calibri" w:cs="Calibri"/>
          <w:sz w:val="22"/>
          <w:szCs w:val="22"/>
        </w:rPr>
        <w:t>+971 50 973 1173</w:t>
      </w:r>
    </w:p>
    <w:p w14:paraId="5E2EFD05" w14:textId="77777777" w:rsidR="0077068C" w:rsidRPr="00890D4A" w:rsidRDefault="0077068C" w:rsidP="001F453F">
      <w:pPr>
        <w:spacing w:line="240" w:lineRule="auto"/>
        <w:jc w:val="both"/>
        <w:rPr>
          <w:rFonts w:ascii="Calibri" w:hAnsi="Calibri" w:cs="Calibri"/>
          <w:sz w:val="19"/>
          <w:szCs w:val="19"/>
        </w:rPr>
      </w:pPr>
    </w:p>
    <w:p w14:paraId="1675B034" w14:textId="77777777" w:rsidR="001F453F" w:rsidRDefault="001F453F" w:rsidP="001F453F">
      <w:pPr>
        <w:spacing w:line="240" w:lineRule="auto"/>
        <w:jc w:val="both"/>
        <w:rPr>
          <w:rFonts w:ascii="Calibri" w:hAnsi="Calibri" w:cs="Calibri"/>
          <w:i/>
          <w:iCs/>
          <w:sz w:val="19"/>
          <w:szCs w:val="19"/>
        </w:rPr>
      </w:pPr>
    </w:p>
    <w:p w14:paraId="4B983C57" w14:textId="77777777" w:rsidR="001F453F" w:rsidRPr="00890D4A" w:rsidRDefault="001F453F" w:rsidP="001F453F">
      <w:pPr>
        <w:spacing w:line="240" w:lineRule="auto"/>
        <w:jc w:val="both"/>
        <w:rPr>
          <w:rFonts w:ascii="Calibri" w:hAnsi="Calibri" w:cs="Calibri"/>
          <w:i/>
          <w:iCs/>
          <w:sz w:val="19"/>
          <w:szCs w:val="19"/>
        </w:rPr>
      </w:pPr>
    </w:p>
    <w:p w14:paraId="39E11AB6" w14:textId="77777777" w:rsidR="001F453F" w:rsidRPr="00890D4A" w:rsidRDefault="001F453F" w:rsidP="001F453F">
      <w:pPr>
        <w:spacing w:line="240" w:lineRule="auto"/>
        <w:jc w:val="both"/>
        <w:rPr>
          <w:rFonts w:ascii="Calibri" w:hAnsi="Calibri" w:cs="Calibri"/>
          <w:i/>
          <w:iCs/>
          <w:sz w:val="19"/>
          <w:szCs w:val="19"/>
        </w:rPr>
      </w:pPr>
    </w:p>
    <w:p w14:paraId="38C84F4F" w14:textId="77777777" w:rsidR="001F453F" w:rsidRPr="00890D4A" w:rsidRDefault="001F453F" w:rsidP="001F453F">
      <w:pPr>
        <w:spacing w:line="240" w:lineRule="auto"/>
        <w:jc w:val="both"/>
        <w:rPr>
          <w:rFonts w:ascii="Calibri" w:hAnsi="Calibri" w:cs="Calibri"/>
          <w:i/>
          <w:iCs/>
          <w:sz w:val="19"/>
          <w:szCs w:val="19"/>
        </w:rPr>
      </w:pPr>
    </w:p>
    <w:p w14:paraId="73D3A1E7" w14:textId="5B14E382" w:rsidR="001F453F" w:rsidRPr="00022210" w:rsidRDefault="00D33B58" w:rsidP="000207AE">
      <w:pPr>
        <w:spacing w:line="240" w:lineRule="auto"/>
        <w:jc w:val="both"/>
        <w:rPr>
          <w:rFonts w:ascii="Calibri" w:hAnsi="Calibri" w:cs="Calibri"/>
          <w:i/>
          <w:iCs/>
          <w:color w:val="000000" w:themeColor="text1"/>
          <w:sz w:val="16"/>
          <w:szCs w:val="16"/>
        </w:rPr>
      </w:pPr>
      <w:r w:rsidRPr="00022210">
        <w:rPr>
          <w:rFonts w:ascii="Calibri" w:hAnsi="Calibri" w:cs="Calibri"/>
          <w:i/>
          <w:iCs/>
          <w:color w:val="000000" w:themeColor="text1"/>
          <w:sz w:val="16"/>
          <w:szCs w:val="16"/>
        </w:rPr>
        <w:t xml:space="preserve">Disclaimer: </w:t>
      </w:r>
    </w:p>
    <w:p w14:paraId="0A4749D0" w14:textId="5F7EF8B7" w:rsidR="001E3669" w:rsidRPr="00022210" w:rsidRDefault="00D33B58" w:rsidP="000207AE">
      <w:pPr>
        <w:spacing w:line="240" w:lineRule="auto"/>
        <w:jc w:val="both"/>
        <w:rPr>
          <w:rFonts w:ascii="Calibri" w:hAnsi="Calibri" w:cs="Calibri"/>
          <w:i/>
          <w:iCs/>
          <w:sz w:val="16"/>
          <w:szCs w:val="16"/>
        </w:rPr>
      </w:pPr>
      <w:r w:rsidRPr="00022210">
        <w:rPr>
          <w:rFonts w:ascii="Calibri" w:hAnsi="Calibri" w:cs="Calibri"/>
          <w:i/>
          <w:iCs/>
          <w:sz w:val="16"/>
          <w:szCs w:val="16"/>
        </w:rPr>
        <w:t>This announcement contains forward-looking statements relating to the Group's future business and prospects. These statements are based on current information and are subject to risks and uncertainties that may cause actual results to differ materially. Except as required by applicable law or regulation, ESG undertakes no obligation to update any forward-looking statements.</w:t>
      </w:r>
    </w:p>
    <w:sectPr w:rsidR="001E3669" w:rsidRPr="00022210">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BAF4A" w14:textId="77777777" w:rsidR="00462EDA" w:rsidRDefault="00462EDA" w:rsidP="001E3669">
      <w:pPr>
        <w:spacing w:after="0" w:line="240" w:lineRule="auto"/>
      </w:pPr>
      <w:r>
        <w:separator/>
      </w:r>
    </w:p>
  </w:endnote>
  <w:endnote w:type="continuationSeparator" w:id="0">
    <w:p w14:paraId="559059BF" w14:textId="77777777" w:rsidR="00462EDA" w:rsidRDefault="00462EDA" w:rsidP="001E36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12A3C" w14:textId="77777777" w:rsidR="00462EDA" w:rsidRDefault="00462EDA" w:rsidP="001E3669">
      <w:pPr>
        <w:spacing w:after="0" w:line="240" w:lineRule="auto"/>
      </w:pPr>
      <w:r>
        <w:separator/>
      </w:r>
    </w:p>
  </w:footnote>
  <w:footnote w:type="continuationSeparator" w:id="0">
    <w:p w14:paraId="6364EB2A" w14:textId="77777777" w:rsidR="00462EDA" w:rsidRDefault="00462EDA" w:rsidP="001E36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B186E" w14:textId="77777777" w:rsidR="00ED3803" w:rsidRDefault="0030070E">
    <w:pPr>
      <w:pStyle w:val="Header"/>
    </w:pPr>
    <w:r>
      <w:rPr>
        <w:noProof/>
      </w:rPr>
      <w:drawing>
        <wp:anchor distT="0" distB="0" distL="114300" distR="114300" simplePos="0" relativeHeight="251658240" behindDoc="1" locked="0" layoutInCell="1" allowOverlap="1" wp14:anchorId="597E3432" wp14:editId="10E98F6D">
          <wp:simplePos x="0" y="0"/>
          <wp:positionH relativeFrom="column">
            <wp:posOffset>4826000</wp:posOffset>
          </wp:positionH>
          <wp:positionV relativeFrom="paragraph">
            <wp:posOffset>-119380</wp:posOffset>
          </wp:positionV>
          <wp:extent cx="878205" cy="822960"/>
          <wp:effectExtent l="0" t="0" r="0" b="0"/>
          <wp:wrapTight wrapText="bothSides">
            <wp:wrapPolygon edited="0">
              <wp:start x="0" y="0"/>
              <wp:lineTo x="0" y="21000"/>
              <wp:lineTo x="21085" y="21000"/>
              <wp:lineTo x="21085" y="0"/>
              <wp:lineTo x="0" y="0"/>
            </wp:wrapPolygon>
          </wp:wrapTight>
          <wp:docPr id="2071137917" name="Picture 1">
            <a:extLst xmlns:a="http://schemas.openxmlformats.org/drawingml/2006/main">
              <a:ext uri="{FF2B5EF4-FFF2-40B4-BE49-F238E27FC236}">
                <a16:creationId xmlns:a16="http://schemas.microsoft.com/office/drawing/2014/main" id="{5DD6E63F-6B7D-4CD9-9070-177FF2A80B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8205" cy="822960"/>
                  </a:xfrm>
                  <a:prstGeom prst="rect">
                    <a:avLst/>
                  </a:prstGeom>
                  <a:noFill/>
                </pic:spPr>
              </pic:pic>
            </a:graphicData>
          </a:graphic>
          <wp14:sizeRelH relativeFrom="page">
            <wp14:pctWidth>0</wp14:pctWidth>
          </wp14:sizeRelH>
          <wp14:sizeRelV relativeFrom="page">
            <wp14:pctHeight>0</wp14:pctHeight>
          </wp14:sizeRelV>
        </wp:anchor>
      </w:drawing>
    </w:r>
    <w:r w:rsidR="00ED3803" w:rsidRPr="001E3669">
      <w:rPr>
        <w:b/>
        <w:bCs/>
        <w:noProof/>
        <w:sz w:val="32"/>
        <w:szCs w:val="32"/>
      </w:rPr>
      <w:drawing>
        <wp:inline distT="0" distB="0" distL="0" distR="0" wp14:anchorId="0392FD52" wp14:editId="0EE0F463">
          <wp:extent cx="1624132" cy="891103"/>
          <wp:effectExtent l="0" t="0" r="0" b="4445"/>
          <wp:docPr id="325952150" name="Picture 1">
            <a:extLst xmlns:a="http://schemas.openxmlformats.org/drawingml/2006/main">
              <a:ext uri="{FF2B5EF4-FFF2-40B4-BE49-F238E27FC236}">
                <a16:creationId xmlns:a16="http://schemas.microsoft.com/office/drawing/2014/main" id="{3BF74963-C61E-4408-A0E2-0D7A8035EE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642475" name=""/>
                  <pic:cNvPicPr/>
                </pic:nvPicPr>
                <pic:blipFill>
                  <a:blip r:embed="rId2">
                    <a:extLst>
                      <a:ext uri="{28A0092B-C50C-407E-A947-70E740481C1C}">
                        <a14:useLocalDpi xmlns:a14="http://schemas.microsoft.com/office/drawing/2010/main" val="0"/>
                      </a:ext>
                    </a:extLst>
                  </a:blip>
                  <a:stretch>
                    <a:fillRect/>
                  </a:stretch>
                </pic:blipFill>
                <pic:spPr>
                  <a:xfrm>
                    <a:off x="0" y="0"/>
                    <a:ext cx="1629399" cy="893993"/>
                  </a:xfrm>
                  <a:prstGeom prst="rect">
                    <a:avLst/>
                  </a:prstGeom>
                </pic:spPr>
              </pic:pic>
            </a:graphicData>
          </a:graphic>
        </wp:inline>
      </w:drawing>
    </w:r>
  </w:p>
  <w:p w14:paraId="4AC4F42D" w14:textId="77777777" w:rsidR="001E3669" w:rsidRDefault="00D1591A" w:rsidP="00CB1198">
    <w:pPr>
      <w:jc w:val="right"/>
    </w:pPr>
    <w:r>
      <w:t xml:space="preserve">                                                                                                                           </w:t>
    </w:r>
    <w:r w:rsidR="00422D6A" w:rsidRPr="00D72A7A">
      <w:rPr>
        <w:rFonts w:ascii="Calibri" w:hAnsi="Calibri" w:cs="Calibri"/>
        <w:b/>
        <w:bCs/>
      </w:rPr>
      <w:t>Press Release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F64E6"/>
    <w:multiLevelType w:val="hybridMultilevel"/>
    <w:tmpl w:val="4F84CECA"/>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1" w15:restartNumberingAfterBreak="0">
    <w:nsid w:val="36505501"/>
    <w:multiLevelType w:val="hybridMultilevel"/>
    <w:tmpl w:val="A6C2E270"/>
    <w:lvl w:ilvl="0" w:tplc="60228254">
      <w:start w:val="1"/>
      <w:numFmt w:val="bullet"/>
      <w:lvlText w:val=""/>
      <w:lvlJc w:val="left"/>
      <w:pPr>
        <w:ind w:left="1080" w:hanging="360"/>
      </w:pPr>
      <w:rPr>
        <w:rFonts w:ascii="Symbol" w:hAnsi="Symbol"/>
      </w:rPr>
    </w:lvl>
    <w:lvl w:ilvl="1" w:tplc="581ED2DE">
      <w:start w:val="1"/>
      <w:numFmt w:val="bullet"/>
      <w:lvlText w:val=""/>
      <w:lvlJc w:val="left"/>
      <w:pPr>
        <w:ind w:left="1080" w:hanging="360"/>
      </w:pPr>
      <w:rPr>
        <w:rFonts w:ascii="Symbol" w:hAnsi="Symbol"/>
      </w:rPr>
    </w:lvl>
    <w:lvl w:ilvl="2" w:tplc="4F0E1D36">
      <w:start w:val="1"/>
      <w:numFmt w:val="bullet"/>
      <w:lvlText w:val=""/>
      <w:lvlJc w:val="left"/>
      <w:pPr>
        <w:ind w:left="1080" w:hanging="360"/>
      </w:pPr>
      <w:rPr>
        <w:rFonts w:ascii="Symbol" w:hAnsi="Symbol"/>
      </w:rPr>
    </w:lvl>
    <w:lvl w:ilvl="3" w:tplc="29F060C4">
      <w:start w:val="1"/>
      <w:numFmt w:val="bullet"/>
      <w:lvlText w:val=""/>
      <w:lvlJc w:val="left"/>
      <w:pPr>
        <w:ind w:left="1080" w:hanging="360"/>
      </w:pPr>
      <w:rPr>
        <w:rFonts w:ascii="Symbol" w:hAnsi="Symbol"/>
      </w:rPr>
    </w:lvl>
    <w:lvl w:ilvl="4" w:tplc="A8BA70C2">
      <w:start w:val="1"/>
      <w:numFmt w:val="bullet"/>
      <w:lvlText w:val=""/>
      <w:lvlJc w:val="left"/>
      <w:pPr>
        <w:ind w:left="1080" w:hanging="360"/>
      </w:pPr>
      <w:rPr>
        <w:rFonts w:ascii="Symbol" w:hAnsi="Symbol"/>
      </w:rPr>
    </w:lvl>
    <w:lvl w:ilvl="5" w:tplc="4E50C0B4">
      <w:start w:val="1"/>
      <w:numFmt w:val="bullet"/>
      <w:lvlText w:val=""/>
      <w:lvlJc w:val="left"/>
      <w:pPr>
        <w:ind w:left="1080" w:hanging="360"/>
      </w:pPr>
      <w:rPr>
        <w:rFonts w:ascii="Symbol" w:hAnsi="Symbol"/>
      </w:rPr>
    </w:lvl>
    <w:lvl w:ilvl="6" w:tplc="35C07124">
      <w:start w:val="1"/>
      <w:numFmt w:val="bullet"/>
      <w:lvlText w:val=""/>
      <w:lvlJc w:val="left"/>
      <w:pPr>
        <w:ind w:left="1080" w:hanging="360"/>
      </w:pPr>
      <w:rPr>
        <w:rFonts w:ascii="Symbol" w:hAnsi="Symbol"/>
      </w:rPr>
    </w:lvl>
    <w:lvl w:ilvl="7" w:tplc="EFF40608">
      <w:start w:val="1"/>
      <w:numFmt w:val="bullet"/>
      <w:lvlText w:val=""/>
      <w:lvlJc w:val="left"/>
      <w:pPr>
        <w:ind w:left="1080" w:hanging="360"/>
      </w:pPr>
      <w:rPr>
        <w:rFonts w:ascii="Symbol" w:hAnsi="Symbol"/>
      </w:rPr>
    </w:lvl>
    <w:lvl w:ilvl="8" w:tplc="C3B8E018">
      <w:start w:val="1"/>
      <w:numFmt w:val="bullet"/>
      <w:lvlText w:val=""/>
      <w:lvlJc w:val="left"/>
      <w:pPr>
        <w:ind w:left="1080" w:hanging="360"/>
      </w:pPr>
      <w:rPr>
        <w:rFonts w:ascii="Symbol" w:hAnsi="Symbol"/>
      </w:rPr>
    </w:lvl>
  </w:abstractNum>
  <w:abstractNum w:abstractNumId="2" w15:restartNumberingAfterBreak="0">
    <w:nsid w:val="5C3A6137"/>
    <w:multiLevelType w:val="hybridMultilevel"/>
    <w:tmpl w:val="23F84AFE"/>
    <w:lvl w:ilvl="0" w:tplc="D478A20C">
      <w:numFmt w:val="bullet"/>
      <w:lvlText w:val="•"/>
      <w:lvlJc w:val="left"/>
      <w:pPr>
        <w:ind w:left="720" w:hanging="360"/>
      </w:pPr>
      <w:rPr>
        <w:rFonts w:ascii="Calibri" w:eastAsiaTheme="minorHAnsi" w:hAnsi="Calibri" w:cs="Calibri"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3" w15:restartNumberingAfterBreak="0">
    <w:nsid w:val="68E30A9D"/>
    <w:multiLevelType w:val="hybridMultilevel"/>
    <w:tmpl w:val="C3F40CFC"/>
    <w:lvl w:ilvl="0" w:tplc="88FCAF2E">
      <w:start w:val="1"/>
      <w:numFmt w:val="bullet"/>
      <w:lvlText w:val=""/>
      <w:lvlJc w:val="left"/>
      <w:pPr>
        <w:ind w:left="1080" w:hanging="360"/>
      </w:pPr>
      <w:rPr>
        <w:rFonts w:ascii="Symbol" w:hAnsi="Symbol"/>
      </w:rPr>
    </w:lvl>
    <w:lvl w:ilvl="1" w:tplc="F8DE2444">
      <w:start w:val="1"/>
      <w:numFmt w:val="bullet"/>
      <w:lvlText w:val=""/>
      <w:lvlJc w:val="left"/>
      <w:pPr>
        <w:ind w:left="1080" w:hanging="360"/>
      </w:pPr>
      <w:rPr>
        <w:rFonts w:ascii="Symbol" w:hAnsi="Symbol"/>
      </w:rPr>
    </w:lvl>
    <w:lvl w:ilvl="2" w:tplc="CD74539C">
      <w:start w:val="1"/>
      <w:numFmt w:val="bullet"/>
      <w:lvlText w:val=""/>
      <w:lvlJc w:val="left"/>
      <w:pPr>
        <w:ind w:left="1080" w:hanging="360"/>
      </w:pPr>
      <w:rPr>
        <w:rFonts w:ascii="Symbol" w:hAnsi="Symbol"/>
      </w:rPr>
    </w:lvl>
    <w:lvl w:ilvl="3" w:tplc="FC527F00">
      <w:start w:val="1"/>
      <w:numFmt w:val="bullet"/>
      <w:lvlText w:val=""/>
      <w:lvlJc w:val="left"/>
      <w:pPr>
        <w:ind w:left="1080" w:hanging="360"/>
      </w:pPr>
      <w:rPr>
        <w:rFonts w:ascii="Symbol" w:hAnsi="Symbol"/>
      </w:rPr>
    </w:lvl>
    <w:lvl w:ilvl="4" w:tplc="C8B45704">
      <w:start w:val="1"/>
      <w:numFmt w:val="bullet"/>
      <w:lvlText w:val=""/>
      <w:lvlJc w:val="left"/>
      <w:pPr>
        <w:ind w:left="1080" w:hanging="360"/>
      </w:pPr>
      <w:rPr>
        <w:rFonts w:ascii="Symbol" w:hAnsi="Symbol"/>
      </w:rPr>
    </w:lvl>
    <w:lvl w:ilvl="5" w:tplc="895274C6">
      <w:start w:val="1"/>
      <w:numFmt w:val="bullet"/>
      <w:lvlText w:val=""/>
      <w:lvlJc w:val="left"/>
      <w:pPr>
        <w:ind w:left="1080" w:hanging="360"/>
      </w:pPr>
      <w:rPr>
        <w:rFonts w:ascii="Symbol" w:hAnsi="Symbol"/>
      </w:rPr>
    </w:lvl>
    <w:lvl w:ilvl="6" w:tplc="44A4A084">
      <w:start w:val="1"/>
      <w:numFmt w:val="bullet"/>
      <w:lvlText w:val=""/>
      <w:lvlJc w:val="left"/>
      <w:pPr>
        <w:ind w:left="1080" w:hanging="360"/>
      </w:pPr>
      <w:rPr>
        <w:rFonts w:ascii="Symbol" w:hAnsi="Symbol"/>
      </w:rPr>
    </w:lvl>
    <w:lvl w:ilvl="7" w:tplc="53F678C4">
      <w:start w:val="1"/>
      <w:numFmt w:val="bullet"/>
      <w:lvlText w:val=""/>
      <w:lvlJc w:val="left"/>
      <w:pPr>
        <w:ind w:left="1080" w:hanging="360"/>
      </w:pPr>
      <w:rPr>
        <w:rFonts w:ascii="Symbol" w:hAnsi="Symbol"/>
      </w:rPr>
    </w:lvl>
    <w:lvl w:ilvl="8" w:tplc="5ADAD68A">
      <w:start w:val="1"/>
      <w:numFmt w:val="bullet"/>
      <w:lvlText w:val=""/>
      <w:lvlJc w:val="left"/>
      <w:pPr>
        <w:ind w:left="1080" w:hanging="360"/>
      </w:pPr>
      <w:rPr>
        <w:rFonts w:ascii="Symbol" w:hAnsi="Symbol"/>
      </w:rPr>
    </w:lvl>
  </w:abstractNum>
  <w:abstractNum w:abstractNumId="4" w15:restartNumberingAfterBreak="0">
    <w:nsid w:val="68F30EF6"/>
    <w:multiLevelType w:val="hybridMultilevel"/>
    <w:tmpl w:val="5AFCD402"/>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num w:numId="1" w16cid:durableId="1272199811">
    <w:abstractNumId w:val="4"/>
  </w:num>
  <w:num w:numId="2" w16cid:durableId="1967226525">
    <w:abstractNumId w:val="0"/>
  </w:num>
  <w:num w:numId="3" w16cid:durableId="422532921">
    <w:abstractNumId w:val="2"/>
  </w:num>
  <w:num w:numId="4" w16cid:durableId="1067534726">
    <w:abstractNumId w:val="1"/>
  </w:num>
  <w:num w:numId="5" w16cid:durableId="20349907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669"/>
    <w:rsid w:val="0001184B"/>
    <w:rsid w:val="000140AC"/>
    <w:rsid w:val="000151D8"/>
    <w:rsid w:val="000207AE"/>
    <w:rsid w:val="000209EE"/>
    <w:rsid w:val="00022210"/>
    <w:rsid w:val="00025E9E"/>
    <w:rsid w:val="0003371C"/>
    <w:rsid w:val="0004223F"/>
    <w:rsid w:val="000519B0"/>
    <w:rsid w:val="00055AF3"/>
    <w:rsid w:val="00060D29"/>
    <w:rsid w:val="0006366E"/>
    <w:rsid w:val="000719DC"/>
    <w:rsid w:val="00071CFC"/>
    <w:rsid w:val="00076251"/>
    <w:rsid w:val="00082A25"/>
    <w:rsid w:val="00095182"/>
    <w:rsid w:val="00095B8D"/>
    <w:rsid w:val="000C3DF5"/>
    <w:rsid w:val="000C3DF9"/>
    <w:rsid w:val="000C4C85"/>
    <w:rsid w:val="000C718B"/>
    <w:rsid w:val="000C7529"/>
    <w:rsid w:val="000D078F"/>
    <w:rsid w:val="000D26DC"/>
    <w:rsid w:val="001007DF"/>
    <w:rsid w:val="00100A24"/>
    <w:rsid w:val="00104DF2"/>
    <w:rsid w:val="001145C1"/>
    <w:rsid w:val="00127BAD"/>
    <w:rsid w:val="001366F3"/>
    <w:rsid w:val="00136B25"/>
    <w:rsid w:val="00140194"/>
    <w:rsid w:val="0014273A"/>
    <w:rsid w:val="001473F5"/>
    <w:rsid w:val="001507D1"/>
    <w:rsid w:val="00166CC8"/>
    <w:rsid w:val="001827A4"/>
    <w:rsid w:val="001919A0"/>
    <w:rsid w:val="00195C94"/>
    <w:rsid w:val="001A1272"/>
    <w:rsid w:val="001C487C"/>
    <w:rsid w:val="001D1E57"/>
    <w:rsid w:val="001D4FD8"/>
    <w:rsid w:val="001D5DE0"/>
    <w:rsid w:val="001E3669"/>
    <w:rsid w:val="001F32A2"/>
    <w:rsid w:val="001F453F"/>
    <w:rsid w:val="001F4FBD"/>
    <w:rsid w:val="001F582A"/>
    <w:rsid w:val="00204CA9"/>
    <w:rsid w:val="00205671"/>
    <w:rsid w:val="00220348"/>
    <w:rsid w:val="00225A3C"/>
    <w:rsid w:val="0022624F"/>
    <w:rsid w:val="0023537D"/>
    <w:rsid w:val="002376C8"/>
    <w:rsid w:val="00237ADD"/>
    <w:rsid w:val="00283945"/>
    <w:rsid w:val="00283BFF"/>
    <w:rsid w:val="002974B1"/>
    <w:rsid w:val="002C09A3"/>
    <w:rsid w:val="002C0A15"/>
    <w:rsid w:val="002E04C3"/>
    <w:rsid w:val="002F0101"/>
    <w:rsid w:val="002F10CA"/>
    <w:rsid w:val="0030070E"/>
    <w:rsid w:val="00312732"/>
    <w:rsid w:val="0033169B"/>
    <w:rsid w:val="00356916"/>
    <w:rsid w:val="00367B76"/>
    <w:rsid w:val="00391BB5"/>
    <w:rsid w:val="003A4514"/>
    <w:rsid w:val="003A5783"/>
    <w:rsid w:val="003B767E"/>
    <w:rsid w:val="003C2321"/>
    <w:rsid w:val="003E47AF"/>
    <w:rsid w:val="004208E7"/>
    <w:rsid w:val="00422D6A"/>
    <w:rsid w:val="0045644F"/>
    <w:rsid w:val="00457FB4"/>
    <w:rsid w:val="00460EDF"/>
    <w:rsid w:val="00462EDA"/>
    <w:rsid w:val="00463ACC"/>
    <w:rsid w:val="00467CB1"/>
    <w:rsid w:val="00472B43"/>
    <w:rsid w:val="004A0258"/>
    <w:rsid w:val="004A6D09"/>
    <w:rsid w:val="004A7ACD"/>
    <w:rsid w:val="004B0358"/>
    <w:rsid w:val="004B374A"/>
    <w:rsid w:val="004B5A72"/>
    <w:rsid w:val="004C7BE5"/>
    <w:rsid w:val="004F7FE3"/>
    <w:rsid w:val="00516402"/>
    <w:rsid w:val="00516A39"/>
    <w:rsid w:val="00522FB7"/>
    <w:rsid w:val="0052542F"/>
    <w:rsid w:val="00527482"/>
    <w:rsid w:val="00534350"/>
    <w:rsid w:val="00542CE2"/>
    <w:rsid w:val="00570023"/>
    <w:rsid w:val="0058581B"/>
    <w:rsid w:val="005A7C89"/>
    <w:rsid w:val="005B1A1B"/>
    <w:rsid w:val="005C25B4"/>
    <w:rsid w:val="005C7EA5"/>
    <w:rsid w:val="00604FBF"/>
    <w:rsid w:val="006100A1"/>
    <w:rsid w:val="0062057E"/>
    <w:rsid w:val="00636990"/>
    <w:rsid w:val="00637C08"/>
    <w:rsid w:val="00662FD0"/>
    <w:rsid w:val="006636DA"/>
    <w:rsid w:val="00665E06"/>
    <w:rsid w:val="00670AEA"/>
    <w:rsid w:val="006A4268"/>
    <w:rsid w:val="006B0C8E"/>
    <w:rsid w:val="006C750E"/>
    <w:rsid w:val="006D1E95"/>
    <w:rsid w:val="006E51FF"/>
    <w:rsid w:val="006F5323"/>
    <w:rsid w:val="0070140F"/>
    <w:rsid w:val="00705CF4"/>
    <w:rsid w:val="00717036"/>
    <w:rsid w:val="00722B44"/>
    <w:rsid w:val="00730BBF"/>
    <w:rsid w:val="007362C7"/>
    <w:rsid w:val="007616A6"/>
    <w:rsid w:val="00767854"/>
    <w:rsid w:val="007705E5"/>
    <w:rsid w:val="0077068C"/>
    <w:rsid w:val="00771955"/>
    <w:rsid w:val="0079673A"/>
    <w:rsid w:val="007A11A7"/>
    <w:rsid w:val="007A15E8"/>
    <w:rsid w:val="007B097C"/>
    <w:rsid w:val="007B17A6"/>
    <w:rsid w:val="007D5703"/>
    <w:rsid w:val="007D7004"/>
    <w:rsid w:val="007E40D5"/>
    <w:rsid w:val="007E443A"/>
    <w:rsid w:val="007E5E96"/>
    <w:rsid w:val="007E6077"/>
    <w:rsid w:val="00804AED"/>
    <w:rsid w:val="0081026D"/>
    <w:rsid w:val="008537F7"/>
    <w:rsid w:val="00857C9D"/>
    <w:rsid w:val="00857EF6"/>
    <w:rsid w:val="0087111A"/>
    <w:rsid w:val="00872378"/>
    <w:rsid w:val="00885186"/>
    <w:rsid w:val="00890D4A"/>
    <w:rsid w:val="008A6C17"/>
    <w:rsid w:val="008B0FB0"/>
    <w:rsid w:val="008C42B4"/>
    <w:rsid w:val="008E0004"/>
    <w:rsid w:val="008E06EA"/>
    <w:rsid w:val="008E23F2"/>
    <w:rsid w:val="008F1E90"/>
    <w:rsid w:val="008F438B"/>
    <w:rsid w:val="008F527C"/>
    <w:rsid w:val="00900C35"/>
    <w:rsid w:val="00902F34"/>
    <w:rsid w:val="00912A4D"/>
    <w:rsid w:val="009306C3"/>
    <w:rsid w:val="00942D2E"/>
    <w:rsid w:val="009610A8"/>
    <w:rsid w:val="00963A60"/>
    <w:rsid w:val="0096446A"/>
    <w:rsid w:val="00986FBE"/>
    <w:rsid w:val="00991590"/>
    <w:rsid w:val="00993913"/>
    <w:rsid w:val="009A335E"/>
    <w:rsid w:val="009B6857"/>
    <w:rsid w:val="009F111A"/>
    <w:rsid w:val="009F69C1"/>
    <w:rsid w:val="00A27027"/>
    <w:rsid w:val="00A46311"/>
    <w:rsid w:val="00A6710C"/>
    <w:rsid w:val="00A765CB"/>
    <w:rsid w:val="00A775C6"/>
    <w:rsid w:val="00A92481"/>
    <w:rsid w:val="00AA4B3A"/>
    <w:rsid w:val="00AB33DA"/>
    <w:rsid w:val="00AB66A1"/>
    <w:rsid w:val="00AC12F8"/>
    <w:rsid w:val="00AD175E"/>
    <w:rsid w:val="00AD6556"/>
    <w:rsid w:val="00AF6A73"/>
    <w:rsid w:val="00B1179B"/>
    <w:rsid w:val="00B14A13"/>
    <w:rsid w:val="00B20438"/>
    <w:rsid w:val="00B423A8"/>
    <w:rsid w:val="00B43534"/>
    <w:rsid w:val="00B43E98"/>
    <w:rsid w:val="00B45D82"/>
    <w:rsid w:val="00B87A42"/>
    <w:rsid w:val="00B91122"/>
    <w:rsid w:val="00B95CBF"/>
    <w:rsid w:val="00B95DDE"/>
    <w:rsid w:val="00BC5A0F"/>
    <w:rsid w:val="00BF0B7B"/>
    <w:rsid w:val="00BF65A4"/>
    <w:rsid w:val="00C065AB"/>
    <w:rsid w:val="00C20B32"/>
    <w:rsid w:val="00C353A6"/>
    <w:rsid w:val="00C45E6C"/>
    <w:rsid w:val="00C4627C"/>
    <w:rsid w:val="00C5224C"/>
    <w:rsid w:val="00C5357C"/>
    <w:rsid w:val="00C56C52"/>
    <w:rsid w:val="00C63EF4"/>
    <w:rsid w:val="00C645EE"/>
    <w:rsid w:val="00C6660D"/>
    <w:rsid w:val="00C815D2"/>
    <w:rsid w:val="00CA0451"/>
    <w:rsid w:val="00CA1D2C"/>
    <w:rsid w:val="00CA4D4F"/>
    <w:rsid w:val="00CB1198"/>
    <w:rsid w:val="00CB4F03"/>
    <w:rsid w:val="00D1591A"/>
    <w:rsid w:val="00D32892"/>
    <w:rsid w:val="00D33B58"/>
    <w:rsid w:val="00D342A6"/>
    <w:rsid w:val="00D43C14"/>
    <w:rsid w:val="00D520D0"/>
    <w:rsid w:val="00D550D0"/>
    <w:rsid w:val="00D62D40"/>
    <w:rsid w:val="00D72A7A"/>
    <w:rsid w:val="00D738BA"/>
    <w:rsid w:val="00D835B2"/>
    <w:rsid w:val="00D851F3"/>
    <w:rsid w:val="00D85483"/>
    <w:rsid w:val="00D9010C"/>
    <w:rsid w:val="00D9611D"/>
    <w:rsid w:val="00DC5ED1"/>
    <w:rsid w:val="00DD7516"/>
    <w:rsid w:val="00E12F0A"/>
    <w:rsid w:val="00E13B19"/>
    <w:rsid w:val="00E146AD"/>
    <w:rsid w:val="00E23EFB"/>
    <w:rsid w:val="00E254F1"/>
    <w:rsid w:val="00E455F7"/>
    <w:rsid w:val="00E71FDB"/>
    <w:rsid w:val="00E745EB"/>
    <w:rsid w:val="00E92E6A"/>
    <w:rsid w:val="00E94508"/>
    <w:rsid w:val="00E971DA"/>
    <w:rsid w:val="00EA015B"/>
    <w:rsid w:val="00EA1F62"/>
    <w:rsid w:val="00EB2656"/>
    <w:rsid w:val="00EC1EE5"/>
    <w:rsid w:val="00EC3120"/>
    <w:rsid w:val="00ED3803"/>
    <w:rsid w:val="00ED4F39"/>
    <w:rsid w:val="00F04EB3"/>
    <w:rsid w:val="00F30019"/>
    <w:rsid w:val="00F417EC"/>
    <w:rsid w:val="00F46FEC"/>
    <w:rsid w:val="00F52079"/>
    <w:rsid w:val="00F66139"/>
    <w:rsid w:val="00F701D0"/>
    <w:rsid w:val="00F741D6"/>
    <w:rsid w:val="00FA00E9"/>
    <w:rsid w:val="00FA0B06"/>
    <w:rsid w:val="00FA1F1E"/>
    <w:rsid w:val="00FA41BC"/>
    <w:rsid w:val="00FC20FF"/>
    <w:rsid w:val="00FC3577"/>
    <w:rsid w:val="00FC5073"/>
    <w:rsid w:val="00FD1722"/>
    <w:rsid w:val="00FF1DF7"/>
    <w:rsid w:val="00FF7306"/>
    <w:rsid w:val="25FE3CEB"/>
    <w:rsid w:val="75538FA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23782"/>
  <w15:chartTrackingRefBased/>
  <w15:docId w15:val="{812BD2F2-64F7-4AB7-BAFC-09FD7C3EE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36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36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36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36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36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36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36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36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36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36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36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36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36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36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36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36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36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3669"/>
    <w:rPr>
      <w:rFonts w:eastAsiaTheme="majorEastAsia" w:cstheme="majorBidi"/>
      <w:color w:val="272727" w:themeColor="text1" w:themeTint="D8"/>
    </w:rPr>
  </w:style>
  <w:style w:type="paragraph" w:styleId="Title">
    <w:name w:val="Title"/>
    <w:basedOn w:val="Normal"/>
    <w:next w:val="Normal"/>
    <w:link w:val="TitleChar"/>
    <w:uiPriority w:val="10"/>
    <w:qFormat/>
    <w:rsid w:val="001E36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36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36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36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3669"/>
    <w:pPr>
      <w:spacing w:before="160"/>
      <w:jc w:val="center"/>
    </w:pPr>
    <w:rPr>
      <w:i/>
      <w:iCs/>
      <w:color w:val="404040" w:themeColor="text1" w:themeTint="BF"/>
    </w:rPr>
  </w:style>
  <w:style w:type="character" w:customStyle="1" w:styleId="QuoteChar">
    <w:name w:val="Quote Char"/>
    <w:basedOn w:val="DefaultParagraphFont"/>
    <w:link w:val="Quote"/>
    <w:uiPriority w:val="29"/>
    <w:rsid w:val="001E3669"/>
    <w:rPr>
      <w:i/>
      <w:iCs/>
      <w:color w:val="404040" w:themeColor="text1" w:themeTint="BF"/>
    </w:rPr>
  </w:style>
  <w:style w:type="paragraph" w:styleId="ListParagraph">
    <w:name w:val="List Paragraph"/>
    <w:basedOn w:val="Normal"/>
    <w:uiPriority w:val="34"/>
    <w:qFormat/>
    <w:rsid w:val="001E3669"/>
    <w:pPr>
      <w:ind w:left="720"/>
      <w:contextualSpacing/>
    </w:pPr>
  </w:style>
  <w:style w:type="character" w:styleId="IntenseEmphasis">
    <w:name w:val="Intense Emphasis"/>
    <w:basedOn w:val="DefaultParagraphFont"/>
    <w:uiPriority w:val="21"/>
    <w:qFormat/>
    <w:rsid w:val="001E3669"/>
    <w:rPr>
      <w:i/>
      <w:iCs/>
      <w:color w:val="0F4761" w:themeColor="accent1" w:themeShade="BF"/>
    </w:rPr>
  </w:style>
  <w:style w:type="paragraph" w:styleId="IntenseQuote">
    <w:name w:val="Intense Quote"/>
    <w:basedOn w:val="Normal"/>
    <w:next w:val="Normal"/>
    <w:link w:val="IntenseQuoteChar"/>
    <w:uiPriority w:val="30"/>
    <w:qFormat/>
    <w:rsid w:val="001E36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3669"/>
    <w:rPr>
      <w:i/>
      <w:iCs/>
      <w:color w:val="0F4761" w:themeColor="accent1" w:themeShade="BF"/>
    </w:rPr>
  </w:style>
  <w:style w:type="character" w:styleId="IntenseReference">
    <w:name w:val="Intense Reference"/>
    <w:basedOn w:val="DefaultParagraphFont"/>
    <w:uiPriority w:val="32"/>
    <w:qFormat/>
    <w:rsid w:val="001E3669"/>
    <w:rPr>
      <w:b/>
      <w:bCs/>
      <w:smallCaps/>
      <w:color w:val="0F4761" w:themeColor="accent1" w:themeShade="BF"/>
      <w:spacing w:val="5"/>
    </w:rPr>
  </w:style>
  <w:style w:type="paragraph" w:customStyle="1" w:styleId="isselectedend">
    <w:name w:val="isselectedend"/>
    <w:basedOn w:val="Normal"/>
    <w:rsid w:val="001E3669"/>
    <w:pPr>
      <w:spacing w:before="100" w:beforeAutospacing="1" w:after="100" w:afterAutospacing="1" w:line="240" w:lineRule="auto"/>
    </w:pPr>
    <w:rPr>
      <w:rFonts w:ascii="Times New Roman" w:eastAsia="Times New Roman" w:hAnsi="Times New Roman" w:cs="Times New Roman"/>
      <w:kern w:val="0"/>
      <w:lang w:eastAsia="en-AE"/>
      <w14:ligatures w14:val="none"/>
    </w:rPr>
  </w:style>
  <w:style w:type="character" w:styleId="Strong">
    <w:name w:val="Strong"/>
    <w:basedOn w:val="DefaultParagraphFont"/>
    <w:uiPriority w:val="22"/>
    <w:qFormat/>
    <w:rsid w:val="001E3669"/>
    <w:rPr>
      <w:b/>
      <w:bCs/>
    </w:rPr>
  </w:style>
  <w:style w:type="paragraph" w:styleId="NormalWeb">
    <w:name w:val="Normal (Web)"/>
    <w:basedOn w:val="Normal"/>
    <w:uiPriority w:val="99"/>
    <w:semiHidden/>
    <w:unhideWhenUsed/>
    <w:rsid w:val="001E3669"/>
    <w:pPr>
      <w:spacing w:before="100" w:beforeAutospacing="1" w:after="100" w:afterAutospacing="1" w:line="240" w:lineRule="auto"/>
    </w:pPr>
    <w:rPr>
      <w:rFonts w:ascii="Times New Roman" w:eastAsia="Times New Roman" w:hAnsi="Times New Roman" w:cs="Times New Roman"/>
      <w:kern w:val="0"/>
      <w:lang w:eastAsia="en-AE"/>
      <w14:ligatures w14:val="none"/>
    </w:rPr>
  </w:style>
  <w:style w:type="paragraph" w:styleId="Header">
    <w:name w:val="header"/>
    <w:basedOn w:val="Normal"/>
    <w:link w:val="HeaderChar"/>
    <w:uiPriority w:val="99"/>
    <w:unhideWhenUsed/>
    <w:rsid w:val="001E36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3669"/>
  </w:style>
  <w:style w:type="paragraph" w:styleId="Footer">
    <w:name w:val="footer"/>
    <w:basedOn w:val="Normal"/>
    <w:link w:val="FooterChar"/>
    <w:uiPriority w:val="99"/>
    <w:unhideWhenUsed/>
    <w:rsid w:val="001E36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3669"/>
  </w:style>
  <w:style w:type="character" w:styleId="Hyperlink">
    <w:name w:val="Hyperlink"/>
    <w:basedOn w:val="DefaultParagraphFont"/>
    <w:uiPriority w:val="99"/>
    <w:unhideWhenUsed/>
    <w:rsid w:val="00D1591A"/>
    <w:rPr>
      <w:color w:val="467886" w:themeColor="hyperlink"/>
      <w:u w:val="single"/>
    </w:rPr>
  </w:style>
  <w:style w:type="character" w:styleId="UnresolvedMention">
    <w:name w:val="Unresolved Mention"/>
    <w:basedOn w:val="DefaultParagraphFont"/>
    <w:uiPriority w:val="99"/>
    <w:semiHidden/>
    <w:unhideWhenUsed/>
    <w:rsid w:val="00D1591A"/>
    <w:rPr>
      <w:color w:val="605E5C"/>
      <w:shd w:val="clear" w:color="auto" w:fill="E1DFDD"/>
    </w:rPr>
  </w:style>
  <w:style w:type="character" w:styleId="CommentReference">
    <w:name w:val="annotation reference"/>
    <w:basedOn w:val="DefaultParagraphFont"/>
    <w:uiPriority w:val="99"/>
    <w:semiHidden/>
    <w:unhideWhenUsed/>
    <w:rsid w:val="00AF6A73"/>
    <w:rPr>
      <w:sz w:val="16"/>
      <w:szCs w:val="16"/>
    </w:rPr>
  </w:style>
  <w:style w:type="paragraph" w:styleId="CommentText">
    <w:name w:val="annotation text"/>
    <w:basedOn w:val="Normal"/>
    <w:link w:val="CommentTextChar"/>
    <w:uiPriority w:val="99"/>
    <w:unhideWhenUsed/>
    <w:rsid w:val="00AF6A73"/>
    <w:pPr>
      <w:spacing w:line="240" w:lineRule="auto"/>
    </w:pPr>
    <w:rPr>
      <w:sz w:val="20"/>
      <w:szCs w:val="20"/>
    </w:rPr>
  </w:style>
  <w:style w:type="character" w:customStyle="1" w:styleId="CommentTextChar">
    <w:name w:val="Comment Text Char"/>
    <w:basedOn w:val="DefaultParagraphFont"/>
    <w:link w:val="CommentText"/>
    <w:uiPriority w:val="99"/>
    <w:rsid w:val="00AF6A73"/>
    <w:rPr>
      <w:sz w:val="20"/>
      <w:szCs w:val="20"/>
    </w:rPr>
  </w:style>
  <w:style w:type="paragraph" w:styleId="CommentSubject">
    <w:name w:val="annotation subject"/>
    <w:basedOn w:val="CommentText"/>
    <w:next w:val="CommentText"/>
    <w:link w:val="CommentSubjectChar"/>
    <w:uiPriority w:val="99"/>
    <w:semiHidden/>
    <w:unhideWhenUsed/>
    <w:rsid w:val="00AF6A73"/>
    <w:rPr>
      <w:b/>
      <w:bCs/>
    </w:rPr>
  </w:style>
  <w:style w:type="character" w:customStyle="1" w:styleId="CommentSubjectChar">
    <w:name w:val="Comment Subject Char"/>
    <w:basedOn w:val="CommentTextChar"/>
    <w:link w:val="CommentSubject"/>
    <w:uiPriority w:val="99"/>
    <w:semiHidden/>
    <w:rsid w:val="00AF6A73"/>
    <w:rPr>
      <w:b/>
      <w:bCs/>
      <w:sz w:val="20"/>
      <w:szCs w:val="20"/>
    </w:rPr>
  </w:style>
  <w:style w:type="paragraph" w:styleId="Revision">
    <w:name w:val="Revision"/>
    <w:hidden/>
    <w:uiPriority w:val="99"/>
    <w:semiHidden/>
    <w:rsid w:val="00AF6A7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hcuae.com" TargetMode="External"/><Relationship Id="rId3" Type="http://schemas.openxmlformats.org/officeDocument/2006/relationships/settings" Target="settings.xml"/><Relationship Id="rId7" Type="http://schemas.openxmlformats.org/officeDocument/2006/relationships/hyperlink" Target="https://nam12.safelinks.protection.outlook.com/?url=http%3A%2F%2Fwww.esguae.com%2F&amp;data=05%7C02%7Cemmanuel.ofosu-appiah%40edelmansmithfield.com%7Ce10862244b00472104ce08de90aba875%7Cb824bfb3918e43c2bb1cdcc1ba40a82b%7C0%7C0%7C639107264184686375%7CUnknown%7CTWFpbGZsb3d8eyJFbXB0eU1hcGkiOnRydWUsIlYiOiIwLjAuMDAwMCIsIlAiOiJXaW4zMiIsIkFOIjoiTWFpbCIsIldUIjoyfQ%3D%3D%7C0%7C%7C%7C&amp;sdata=hofU2mFFDcySaYmW5nr3wWJB5HCwgP8tngSPQorI7aY%3D&amp;reserved=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HC@edelmansmithfield.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972</Words>
  <Characters>5542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Ofosu-Appiah, Emmanuel</dc:creator>
  <cp:keywords/>
  <dc:description/>
  <cp:lastModifiedBy>Amal Mohammad Al Satl</cp:lastModifiedBy>
  <cp:revision>3</cp:revision>
  <cp:lastPrinted>2026-07-24T07:17:00Z</cp:lastPrinted>
  <dcterms:created xsi:type="dcterms:W3CDTF">2026-07-28T12:43:00Z</dcterms:created>
  <dcterms:modified xsi:type="dcterms:W3CDTF">2026-07-28T13:18:00Z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2026-04-17T05:51:49Z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0ddb1217-0ba2-48a7-94e4-b18d9f4092be</vt:lpwstr>
  </property>
  <property fmtid="{D5CDD505-2E9C-101B-9397-08002B2CF9AE}" pid="7" name="MSIP_Label_defa4170-0d19-0005-0004-bc88714345d2_ActionId">
    <vt:lpwstr>07b0cab9-9f9c-47c2-bf01-8b42febcd8c3</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